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65322" w14:textId="17E13DDB" w:rsidR="009B2095" w:rsidRDefault="009B2095" w:rsidP="000D0ABB"/>
    <w:p w14:paraId="45F5A58E" w14:textId="77777777" w:rsidR="00B328FE" w:rsidRPr="008D160D" w:rsidRDefault="00B328FE" w:rsidP="000D0ABB">
      <w:pPr>
        <w:rPr>
          <w:b/>
          <w:sz w:val="100"/>
          <w:szCs w:val="100"/>
        </w:rPr>
      </w:pPr>
      <w:r w:rsidRPr="008D160D">
        <w:rPr>
          <w:b/>
          <w:sz w:val="100"/>
          <w:szCs w:val="100"/>
        </w:rPr>
        <w:t>RAPPORTAGE</w:t>
      </w:r>
    </w:p>
    <w:p w14:paraId="030FFE85" w14:textId="168A10D4" w:rsidR="009B2095" w:rsidRPr="008D160D" w:rsidRDefault="00B328FE" w:rsidP="000D0ABB">
      <w:pPr>
        <w:rPr>
          <w:b/>
          <w:sz w:val="50"/>
          <w:szCs w:val="50"/>
        </w:rPr>
      </w:pPr>
      <w:r w:rsidRPr="008D160D">
        <w:rPr>
          <w:b/>
          <w:sz w:val="50"/>
          <w:szCs w:val="50"/>
        </w:rPr>
        <w:t>MEEST MATERI</w:t>
      </w:r>
      <w:r w:rsidR="00B36685" w:rsidRPr="008D160D">
        <w:rPr>
          <w:b/>
          <w:sz w:val="50"/>
          <w:szCs w:val="50"/>
        </w:rPr>
        <w:t>Ë</w:t>
      </w:r>
      <w:r w:rsidRPr="008D160D">
        <w:rPr>
          <w:b/>
          <w:sz w:val="50"/>
          <w:szCs w:val="50"/>
        </w:rPr>
        <w:t xml:space="preserve">LE </w:t>
      </w:r>
      <w:r w:rsidR="00D976F6" w:rsidRPr="008D160D">
        <w:rPr>
          <w:b/>
          <w:sz w:val="50"/>
          <w:szCs w:val="50"/>
        </w:rPr>
        <w:t xml:space="preserve">SCOPE 3 </w:t>
      </w:r>
      <w:r w:rsidRPr="008D160D">
        <w:rPr>
          <w:b/>
          <w:sz w:val="50"/>
          <w:szCs w:val="50"/>
        </w:rPr>
        <w:t>EMISSIES</w:t>
      </w:r>
    </w:p>
    <w:p w14:paraId="17A3EC84" w14:textId="2BC031B2" w:rsidR="009B2095" w:rsidRPr="002430BF" w:rsidRDefault="009B2095" w:rsidP="009B2095">
      <w:pPr>
        <w:rPr>
          <w:sz w:val="44"/>
          <w:szCs w:val="44"/>
          <w:highlight w:val="yellow"/>
        </w:rPr>
      </w:pPr>
    </w:p>
    <w:p w14:paraId="0E169FCB" w14:textId="77777777" w:rsidR="0074209B" w:rsidRPr="002430BF" w:rsidRDefault="0074209B" w:rsidP="009B2095">
      <w:pPr>
        <w:rPr>
          <w:highlight w:val="yellow"/>
        </w:rPr>
      </w:pPr>
    </w:p>
    <w:p w14:paraId="14FCEA2B" w14:textId="77777777" w:rsidR="009B2095" w:rsidRPr="002430BF" w:rsidRDefault="009B2095" w:rsidP="009B2095">
      <w:pPr>
        <w:rPr>
          <w:highlight w:val="yellow"/>
        </w:rPr>
      </w:pPr>
    </w:p>
    <w:p w14:paraId="45B028AC" w14:textId="77777777" w:rsidR="009B2095" w:rsidRPr="002430BF" w:rsidRDefault="009B2095" w:rsidP="009B2095">
      <w:pPr>
        <w:rPr>
          <w:highlight w:val="yellow"/>
        </w:rPr>
      </w:pPr>
    </w:p>
    <w:p w14:paraId="5B0F5024" w14:textId="77777777" w:rsidR="009B2095" w:rsidRPr="002430BF" w:rsidRDefault="009B2095" w:rsidP="009B2095">
      <w:pPr>
        <w:rPr>
          <w:highlight w:val="yellow"/>
        </w:rPr>
      </w:pPr>
    </w:p>
    <w:p w14:paraId="75825B5A" w14:textId="77777777" w:rsidR="00562E1D" w:rsidRPr="002430BF" w:rsidRDefault="00562E1D" w:rsidP="009B2095">
      <w:pPr>
        <w:rPr>
          <w:highlight w:val="yellow"/>
        </w:rPr>
      </w:pPr>
    </w:p>
    <w:p w14:paraId="24F78994" w14:textId="77777777" w:rsidR="00562E1D" w:rsidRPr="002430BF" w:rsidRDefault="00562E1D" w:rsidP="00562E1D">
      <w:pPr>
        <w:rPr>
          <w:highlight w:val="yellow"/>
        </w:rPr>
      </w:pPr>
      <w:r w:rsidRPr="002430BF">
        <w:rPr>
          <w:highlight w:val="yellow"/>
        </w:rPr>
        <w:br w:type="page"/>
      </w:r>
    </w:p>
    <w:p w14:paraId="4765AC3C" w14:textId="77777777" w:rsidR="009B2095" w:rsidRPr="008D160D" w:rsidRDefault="00562E1D" w:rsidP="009B2095">
      <w:pPr>
        <w:rPr>
          <w:b/>
          <w:sz w:val="32"/>
          <w:szCs w:val="32"/>
        </w:rPr>
      </w:pPr>
      <w:r w:rsidRPr="008D160D">
        <w:rPr>
          <w:b/>
          <w:sz w:val="32"/>
          <w:szCs w:val="32"/>
        </w:rPr>
        <w:lastRenderedPageBreak/>
        <w:t>INHOUDSOPGAVE</w:t>
      </w:r>
    </w:p>
    <w:sdt>
      <w:sdtPr>
        <w:rPr>
          <w:highlight w:val="yellow"/>
        </w:rPr>
        <w:id w:val="-2136629063"/>
        <w:docPartObj>
          <w:docPartGallery w:val="Table of Contents"/>
          <w:docPartUnique/>
        </w:docPartObj>
      </w:sdtPr>
      <w:sdtEndPr>
        <w:rPr>
          <w:b/>
          <w:bCs/>
        </w:rPr>
      </w:sdtEndPr>
      <w:sdtContent>
        <w:p w14:paraId="228D5FDA" w14:textId="77777777" w:rsidR="00562E1D" w:rsidRPr="002430BF" w:rsidRDefault="00562E1D" w:rsidP="00562E1D">
          <w:pPr>
            <w:rPr>
              <w:highlight w:val="yellow"/>
            </w:rPr>
          </w:pPr>
        </w:p>
        <w:p w14:paraId="3E68C614" w14:textId="34220776" w:rsidR="008D160D" w:rsidRDefault="00562E1D">
          <w:pPr>
            <w:pStyle w:val="Inhopg1"/>
            <w:tabs>
              <w:tab w:val="left" w:pos="400"/>
              <w:tab w:val="right" w:leader="dot" w:pos="9062"/>
            </w:tabs>
            <w:rPr>
              <w:rFonts w:eastAsiaTheme="minorEastAsia"/>
              <w:b w:val="0"/>
              <w:bCs w:val="0"/>
              <w:caps w:val="0"/>
              <w:noProof/>
              <w:sz w:val="22"/>
              <w:szCs w:val="22"/>
              <w:lang w:eastAsia="nl-NL"/>
            </w:rPr>
          </w:pPr>
          <w:r w:rsidRPr="002430BF">
            <w:rPr>
              <w:highlight w:val="yellow"/>
            </w:rPr>
            <w:fldChar w:fldCharType="begin"/>
          </w:r>
          <w:r w:rsidRPr="002430BF">
            <w:rPr>
              <w:highlight w:val="yellow"/>
            </w:rPr>
            <w:instrText xml:space="preserve"> TOC \o "1-3" \h \z \u </w:instrText>
          </w:r>
          <w:r w:rsidRPr="002430BF">
            <w:rPr>
              <w:highlight w:val="yellow"/>
            </w:rPr>
            <w:fldChar w:fldCharType="separate"/>
          </w:r>
          <w:hyperlink w:anchor="_Toc49245506" w:history="1">
            <w:r w:rsidR="008D160D" w:rsidRPr="00E85ADB">
              <w:rPr>
                <w:rStyle w:val="Hyperlink"/>
                <w:noProof/>
              </w:rPr>
              <w:t>1</w:t>
            </w:r>
            <w:r w:rsidR="008D160D">
              <w:rPr>
                <w:rFonts w:eastAsiaTheme="minorEastAsia"/>
                <w:b w:val="0"/>
                <w:bCs w:val="0"/>
                <w:caps w:val="0"/>
                <w:noProof/>
                <w:sz w:val="22"/>
                <w:szCs w:val="22"/>
                <w:lang w:eastAsia="nl-NL"/>
              </w:rPr>
              <w:tab/>
            </w:r>
            <w:r w:rsidR="008D160D" w:rsidRPr="00E85ADB">
              <w:rPr>
                <w:rStyle w:val="Hyperlink"/>
                <w:noProof/>
              </w:rPr>
              <w:t>Inleiding</w:t>
            </w:r>
            <w:r w:rsidR="008D160D">
              <w:rPr>
                <w:noProof/>
                <w:webHidden/>
              </w:rPr>
              <w:tab/>
            </w:r>
            <w:r w:rsidR="008D160D">
              <w:rPr>
                <w:noProof/>
                <w:webHidden/>
              </w:rPr>
              <w:fldChar w:fldCharType="begin"/>
            </w:r>
            <w:r w:rsidR="008D160D">
              <w:rPr>
                <w:noProof/>
                <w:webHidden/>
              </w:rPr>
              <w:instrText xml:space="preserve"> PAGEREF _Toc49245506 \h </w:instrText>
            </w:r>
            <w:r w:rsidR="008D160D">
              <w:rPr>
                <w:noProof/>
                <w:webHidden/>
              </w:rPr>
            </w:r>
            <w:r w:rsidR="008D160D">
              <w:rPr>
                <w:noProof/>
                <w:webHidden/>
              </w:rPr>
              <w:fldChar w:fldCharType="separate"/>
            </w:r>
            <w:r w:rsidR="00AA5B6A">
              <w:rPr>
                <w:noProof/>
                <w:webHidden/>
              </w:rPr>
              <w:t>3</w:t>
            </w:r>
            <w:r w:rsidR="008D160D">
              <w:rPr>
                <w:noProof/>
                <w:webHidden/>
              </w:rPr>
              <w:fldChar w:fldCharType="end"/>
            </w:r>
          </w:hyperlink>
        </w:p>
        <w:p w14:paraId="5483BC17" w14:textId="7CC9231E" w:rsidR="008D160D" w:rsidRDefault="00A72AA9">
          <w:pPr>
            <w:pStyle w:val="Inhopg1"/>
            <w:tabs>
              <w:tab w:val="left" w:pos="400"/>
              <w:tab w:val="right" w:leader="dot" w:pos="9062"/>
            </w:tabs>
            <w:rPr>
              <w:rFonts w:eastAsiaTheme="minorEastAsia"/>
              <w:b w:val="0"/>
              <w:bCs w:val="0"/>
              <w:caps w:val="0"/>
              <w:noProof/>
              <w:sz w:val="22"/>
              <w:szCs w:val="22"/>
              <w:lang w:eastAsia="nl-NL"/>
            </w:rPr>
          </w:pPr>
          <w:hyperlink w:anchor="_Toc49245507" w:history="1">
            <w:r w:rsidR="008D160D" w:rsidRPr="00E85ADB">
              <w:rPr>
                <w:rStyle w:val="Hyperlink"/>
                <w:noProof/>
              </w:rPr>
              <w:t>2</w:t>
            </w:r>
            <w:r w:rsidR="008D160D">
              <w:rPr>
                <w:rFonts w:eastAsiaTheme="minorEastAsia"/>
                <w:b w:val="0"/>
                <w:bCs w:val="0"/>
                <w:caps w:val="0"/>
                <w:noProof/>
                <w:sz w:val="22"/>
                <w:szCs w:val="22"/>
                <w:lang w:eastAsia="nl-NL"/>
              </w:rPr>
              <w:tab/>
            </w:r>
            <w:r w:rsidR="008D160D" w:rsidRPr="00E85ADB">
              <w:rPr>
                <w:rStyle w:val="Hyperlink"/>
                <w:noProof/>
              </w:rPr>
              <w:t>Methode scope 3 analyse</w:t>
            </w:r>
            <w:r w:rsidR="008D160D">
              <w:rPr>
                <w:noProof/>
                <w:webHidden/>
              </w:rPr>
              <w:tab/>
            </w:r>
            <w:r w:rsidR="008D160D">
              <w:rPr>
                <w:noProof/>
                <w:webHidden/>
              </w:rPr>
              <w:fldChar w:fldCharType="begin"/>
            </w:r>
            <w:r w:rsidR="008D160D">
              <w:rPr>
                <w:noProof/>
                <w:webHidden/>
              </w:rPr>
              <w:instrText xml:space="preserve"> PAGEREF _Toc49245507 \h </w:instrText>
            </w:r>
            <w:r w:rsidR="008D160D">
              <w:rPr>
                <w:noProof/>
                <w:webHidden/>
              </w:rPr>
            </w:r>
            <w:r w:rsidR="008D160D">
              <w:rPr>
                <w:noProof/>
                <w:webHidden/>
              </w:rPr>
              <w:fldChar w:fldCharType="separate"/>
            </w:r>
            <w:r w:rsidR="00AA5B6A">
              <w:rPr>
                <w:noProof/>
                <w:webHidden/>
              </w:rPr>
              <w:t>4</w:t>
            </w:r>
            <w:r w:rsidR="008D160D">
              <w:rPr>
                <w:noProof/>
                <w:webHidden/>
              </w:rPr>
              <w:fldChar w:fldCharType="end"/>
            </w:r>
          </w:hyperlink>
        </w:p>
        <w:p w14:paraId="5CD39B7D" w14:textId="1BADDBCA" w:rsidR="008D160D" w:rsidRDefault="00A72AA9">
          <w:pPr>
            <w:pStyle w:val="Inhopg1"/>
            <w:tabs>
              <w:tab w:val="left" w:pos="400"/>
              <w:tab w:val="right" w:leader="dot" w:pos="9062"/>
            </w:tabs>
            <w:rPr>
              <w:rFonts w:eastAsiaTheme="minorEastAsia"/>
              <w:b w:val="0"/>
              <w:bCs w:val="0"/>
              <w:caps w:val="0"/>
              <w:noProof/>
              <w:sz w:val="22"/>
              <w:szCs w:val="22"/>
              <w:lang w:eastAsia="nl-NL"/>
            </w:rPr>
          </w:pPr>
          <w:hyperlink w:anchor="_Toc49245508" w:history="1">
            <w:r w:rsidR="008D160D" w:rsidRPr="00E85ADB">
              <w:rPr>
                <w:rStyle w:val="Hyperlink"/>
                <w:noProof/>
              </w:rPr>
              <w:t>3</w:t>
            </w:r>
            <w:r w:rsidR="008D160D">
              <w:rPr>
                <w:rFonts w:eastAsiaTheme="minorEastAsia"/>
                <w:b w:val="0"/>
                <w:bCs w:val="0"/>
                <w:caps w:val="0"/>
                <w:noProof/>
                <w:sz w:val="22"/>
                <w:szCs w:val="22"/>
                <w:lang w:eastAsia="nl-NL"/>
              </w:rPr>
              <w:tab/>
            </w:r>
            <w:r w:rsidR="008D160D" w:rsidRPr="00E85ADB">
              <w:rPr>
                <w:rStyle w:val="Hyperlink"/>
                <w:noProof/>
              </w:rPr>
              <w:t>Uitstoot CO2 per categoriE</w:t>
            </w:r>
            <w:r w:rsidR="008D160D">
              <w:rPr>
                <w:noProof/>
                <w:webHidden/>
              </w:rPr>
              <w:tab/>
            </w:r>
            <w:r w:rsidR="008D160D">
              <w:rPr>
                <w:noProof/>
                <w:webHidden/>
              </w:rPr>
              <w:fldChar w:fldCharType="begin"/>
            </w:r>
            <w:r w:rsidR="008D160D">
              <w:rPr>
                <w:noProof/>
                <w:webHidden/>
              </w:rPr>
              <w:instrText xml:space="preserve"> PAGEREF _Toc49245508 \h </w:instrText>
            </w:r>
            <w:r w:rsidR="008D160D">
              <w:rPr>
                <w:noProof/>
                <w:webHidden/>
              </w:rPr>
            </w:r>
            <w:r w:rsidR="008D160D">
              <w:rPr>
                <w:noProof/>
                <w:webHidden/>
              </w:rPr>
              <w:fldChar w:fldCharType="separate"/>
            </w:r>
            <w:r w:rsidR="00AA5B6A">
              <w:rPr>
                <w:noProof/>
                <w:webHidden/>
              </w:rPr>
              <w:t>5</w:t>
            </w:r>
            <w:r w:rsidR="008D160D">
              <w:rPr>
                <w:noProof/>
                <w:webHidden/>
              </w:rPr>
              <w:fldChar w:fldCharType="end"/>
            </w:r>
          </w:hyperlink>
        </w:p>
        <w:p w14:paraId="3D010225" w14:textId="5667ED7B" w:rsidR="008D160D" w:rsidRDefault="00A72AA9">
          <w:pPr>
            <w:pStyle w:val="Inhopg2"/>
            <w:tabs>
              <w:tab w:val="left" w:pos="800"/>
              <w:tab w:val="right" w:leader="dot" w:pos="9062"/>
            </w:tabs>
            <w:rPr>
              <w:rFonts w:eastAsiaTheme="minorEastAsia"/>
              <w:smallCaps w:val="0"/>
              <w:noProof/>
              <w:sz w:val="22"/>
              <w:szCs w:val="22"/>
              <w:lang w:eastAsia="nl-NL"/>
            </w:rPr>
          </w:pPr>
          <w:hyperlink w:anchor="_Toc49245509" w:history="1">
            <w:r w:rsidR="008D160D" w:rsidRPr="00E85ADB">
              <w:rPr>
                <w:rStyle w:val="Hyperlink"/>
                <w:noProof/>
              </w:rPr>
              <w:t>3.1</w:t>
            </w:r>
            <w:r w:rsidR="008D160D">
              <w:rPr>
                <w:rFonts w:eastAsiaTheme="minorEastAsia"/>
                <w:smallCaps w:val="0"/>
                <w:noProof/>
                <w:sz w:val="22"/>
                <w:szCs w:val="22"/>
                <w:lang w:eastAsia="nl-NL"/>
              </w:rPr>
              <w:tab/>
            </w:r>
            <w:r w:rsidR="008D160D" w:rsidRPr="00E85ADB">
              <w:rPr>
                <w:rStyle w:val="Hyperlink"/>
                <w:noProof/>
              </w:rPr>
              <w:t>Upstream CO2</w:t>
            </w:r>
            <w:r w:rsidR="008D160D">
              <w:rPr>
                <w:noProof/>
                <w:webHidden/>
              </w:rPr>
              <w:tab/>
            </w:r>
            <w:r w:rsidR="008D160D">
              <w:rPr>
                <w:noProof/>
                <w:webHidden/>
              </w:rPr>
              <w:fldChar w:fldCharType="begin"/>
            </w:r>
            <w:r w:rsidR="008D160D">
              <w:rPr>
                <w:noProof/>
                <w:webHidden/>
              </w:rPr>
              <w:instrText xml:space="preserve"> PAGEREF _Toc49245509 \h </w:instrText>
            </w:r>
            <w:r w:rsidR="008D160D">
              <w:rPr>
                <w:noProof/>
                <w:webHidden/>
              </w:rPr>
            </w:r>
            <w:r w:rsidR="008D160D">
              <w:rPr>
                <w:noProof/>
                <w:webHidden/>
              </w:rPr>
              <w:fldChar w:fldCharType="separate"/>
            </w:r>
            <w:r w:rsidR="00AA5B6A">
              <w:rPr>
                <w:noProof/>
                <w:webHidden/>
              </w:rPr>
              <w:t>5</w:t>
            </w:r>
            <w:r w:rsidR="008D160D">
              <w:rPr>
                <w:noProof/>
                <w:webHidden/>
              </w:rPr>
              <w:fldChar w:fldCharType="end"/>
            </w:r>
          </w:hyperlink>
        </w:p>
        <w:p w14:paraId="6ABC2952" w14:textId="7F38DDEB" w:rsidR="008D160D" w:rsidRDefault="00A72AA9">
          <w:pPr>
            <w:pStyle w:val="Inhopg2"/>
            <w:tabs>
              <w:tab w:val="left" w:pos="800"/>
              <w:tab w:val="right" w:leader="dot" w:pos="9062"/>
            </w:tabs>
            <w:rPr>
              <w:rFonts w:eastAsiaTheme="minorEastAsia"/>
              <w:smallCaps w:val="0"/>
              <w:noProof/>
              <w:sz w:val="22"/>
              <w:szCs w:val="22"/>
              <w:lang w:eastAsia="nl-NL"/>
            </w:rPr>
          </w:pPr>
          <w:hyperlink w:anchor="_Toc49245510" w:history="1">
            <w:r w:rsidR="008D160D" w:rsidRPr="00E85ADB">
              <w:rPr>
                <w:rStyle w:val="Hyperlink"/>
                <w:noProof/>
              </w:rPr>
              <w:t>3.2</w:t>
            </w:r>
            <w:r w:rsidR="008D160D">
              <w:rPr>
                <w:rFonts w:eastAsiaTheme="minorEastAsia"/>
                <w:smallCaps w:val="0"/>
                <w:noProof/>
                <w:sz w:val="22"/>
                <w:szCs w:val="22"/>
                <w:lang w:eastAsia="nl-NL"/>
              </w:rPr>
              <w:tab/>
            </w:r>
            <w:r w:rsidR="008D160D" w:rsidRPr="00E85ADB">
              <w:rPr>
                <w:rStyle w:val="Hyperlink"/>
                <w:noProof/>
              </w:rPr>
              <w:t>Downstream CO2</w:t>
            </w:r>
            <w:r w:rsidR="008D160D">
              <w:rPr>
                <w:noProof/>
                <w:webHidden/>
              </w:rPr>
              <w:tab/>
            </w:r>
            <w:r w:rsidR="008D160D">
              <w:rPr>
                <w:noProof/>
                <w:webHidden/>
              </w:rPr>
              <w:fldChar w:fldCharType="begin"/>
            </w:r>
            <w:r w:rsidR="008D160D">
              <w:rPr>
                <w:noProof/>
                <w:webHidden/>
              </w:rPr>
              <w:instrText xml:space="preserve"> PAGEREF _Toc49245510 \h </w:instrText>
            </w:r>
            <w:r w:rsidR="008D160D">
              <w:rPr>
                <w:noProof/>
                <w:webHidden/>
              </w:rPr>
            </w:r>
            <w:r w:rsidR="008D160D">
              <w:rPr>
                <w:noProof/>
                <w:webHidden/>
              </w:rPr>
              <w:fldChar w:fldCharType="separate"/>
            </w:r>
            <w:r w:rsidR="00AA5B6A">
              <w:rPr>
                <w:noProof/>
                <w:webHidden/>
              </w:rPr>
              <w:t>6</w:t>
            </w:r>
            <w:r w:rsidR="008D160D">
              <w:rPr>
                <w:noProof/>
                <w:webHidden/>
              </w:rPr>
              <w:fldChar w:fldCharType="end"/>
            </w:r>
          </w:hyperlink>
        </w:p>
        <w:p w14:paraId="4F8A0D7F" w14:textId="629CFBCF" w:rsidR="008D160D" w:rsidRDefault="00A72AA9">
          <w:pPr>
            <w:pStyle w:val="Inhopg1"/>
            <w:tabs>
              <w:tab w:val="left" w:pos="400"/>
              <w:tab w:val="right" w:leader="dot" w:pos="9062"/>
            </w:tabs>
            <w:rPr>
              <w:rFonts w:eastAsiaTheme="minorEastAsia"/>
              <w:b w:val="0"/>
              <w:bCs w:val="0"/>
              <w:caps w:val="0"/>
              <w:noProof/>
              <w:sz w:val="22"/>
              <w:szCs w:val="22"/>
              <w:lang w:eastAsia="nl-NL"/>
            </w:rPr>
          </w:pPr>
          <w:hyperlink w:anchor="_Toc49245511" w:history="1">
            <w:r w:rsidR="008D160D" w:rsidRPr="00E85ADB">
              <w:rPr>
                <w:rStyle w:val="Hyperlink"/>
                <w:noProof/>
              </w:rPr>
              <w:t>4</w:t>
            </w:r>
            <w:r w:rsidR="008D160D">
              <w:rPr>
                <w:rFonts w:eastAsiaTheme="minorEastAsia"/>
                <w:b w:val="0"/>
                <w:bCs w:val="0"/>
                <w:caps w:val="0"/>
                <w:noProof/>
                <w:sz w:val="22"/>
                <w:szCs w:val="22"/>
                <w:lang w:eastAsia="nl-NL"/>
              </w:rPr>
              <w:tab/>
            </w:r>
            <w:r w:rsidR="008D160D" w:rsidRPr="00E85ADB">
              <w:rPr>
                <w:rStyle w:val="Hyperlink"/>
                <w:noProof/>
              </w:rPr>
              <w:t>Inschatting rangorde meest materiele emissie</w:t>
            </w:r>
            <w:r w:rsidR="008D160D">
              <w:rPr>
                <w:noProof/>
                <w:webHidden/>
              </w:rPr>
              <w:tab/>
            </w:r>
            <w:r w:rsidR="008D160D">
              <w:rPr>
                <w:noProof/>
                <w:webHidden/>
              </w:rPr>
              <w:fldChar w:fldCharType="begin"/>
            </w:r>
            <w:r w:rsidR="008D160D">
              <w:rPr>
                <w:noProof/>
                <w:webHidden/>
              </w:rPr>
              <w:instrText xml:space="preserve"> PAGEREF _Toc49245511 \h </w:instrText>
            </w:r>
            <w:r w:rsidR="008D160D">
              <w:rPr>
                <w:noProof/>
                <w:webHidden/>
              </w:rPr>
            </w:r>
            <w:r w:rsidR="008D160D">
              <w:rPr>
                <w:noProof/>
                <w:webHidden/>
              </w:rPr>
              <w:fldChar w:fldCharType="separate"/>
            </w:r>
            <w:r w:rsidR="00AA5B6A">
              <w:rPr>
                <w:noProof/>
                <w:webHidden/>
              </w:rPr>
              <w:t>7</w:t>
            </w:r>
            <w:r w:rsidR="008D160D">
              <w:rPr>
                <w:noProof/>
                <w:webHidden/>
              </w:rPr>
              <w:fldChar w:fldCharType="end"/>
            </w:r>
          </w:hyperlink>
        </w:p>
        <w:p w14:paraId="7E34B1C0" w14:textId="146C0A06" w:rsidR="008D160D" w:rsidRDefault="00A72AA9">
          <w:pPr>
            <w:pStyle w:val="Inhopg2"/>
            <w:tabs>
              <w:tab w:val="left" w:pos="800"/>
              <w:tab w:val="right" w:leader="dot" w:pos="9062"/>
            </w:tabs>
            <w:rPr>
              <w:rFonts w:eastAsiaTheme="minorEastAsia"/>
              <w:smallCaps w:val="0"/>
              <w:noProof/>
              <w:sz w:val="22"/>
              <w:szCs w:val="22"/>
              <w:lang w:eastAsia="nl-NL"/>
            </w:rPr>
          </w:pPr>
          <w:hyperlink w:anchor="_Toc49245512" w:history="1">
            <w:r w:rsidR="008D160D" w:rsidRPr="00E85ADB">
              <w:rPr>
                <w:rStyle w:val="Hyperlink"/>
                <w:noProof/>
              </w:rPr>
              <w:t>4.1</w:t>
            </w:r>
            <w:r w:rsidR="008D160D">
              <w:rPr>
                <w:rFonts w:eastAsiaTheme="minorEastAsia"/>
                <w:smallCaps w:val="0"/>
                <w:noProof/>
                <w:sz w:val="22"/>
                <w:szCs w:val="22"/>
                <w:lang w:eastAsia="nl-NL"/>
              </w:rPr>
              <w:tab/>
            </w:r>
            <w:r w:rsidR="008D160D" w:rsidRPr="00E85ADB">
              <w:rPr>
                <w:rStyle w:val="Hyperlink"/>
                <w:noProof/>
              </w:rPr>
              <w:t>Bepaling relatieve omvang kwaliteit</w:t>
            </w:r>
            <w:r w:rsidR="008D160D">
              <w:rPr>
                <w:noProof/>
                <w:webHidden/>
              </w:rPr>
              <w:tab/>
            </w:r>
            <w:r w:rsidR="008D160D">
              <w:rPr>
                <w:noProof/>
                <w:webHidden/>
              </w:rPr>
              <w:fldChar w:fldCharType="begin"/>
            </w:r>
            <w:r w:rsidR="008D160D">
              <w:rPr>
                <w:noProof/>
                <w:webHidden/>
              </w:rPr>
              <w:instrText xml:space="preserve"> PAGEREF _Toc49245512 \h </w:instrText>
            </w:r>
            <w:r w:rsidR="008D160D">
              <w:rPr>
                <w:noProof/>
                <w:webHidden/>
              </w:rPr>
            </w:r>
            <w:r w:rsidR="008D160D">
              <w:rPr>
                <w:noProof/>
                <w:webHidden/>
              </w:rPr>
              <w:fldChar w:fldCharType="separate"/>
            </w:r>
            <w:r w:rsidR="00AA5B6A">
              <w:rPr>
                <w:noProof/>
                <w:webHidden/>
              </w:rPr>
              <w:t>7</w:t>
            </w:r>
            <w:r w:rsidR="008D160D">
              <w:rPr>
                <w:noProof/>
                <w:webHidden/>
              </w:rPr>
              <w:fldChar w:fldCharType="end"/>
            </w:r>
          </w:hyperlink>
        </w:p>
        <w:p w14:paraId="4694132D" w14:textId="3769BD8A" w:rsidR="008D160D" w:rsidRDefault="00A72AA9">
          <w:pPr>
            <w:pStyle w:val="Inhopg2"/>
            <w:tabs>
              <w:tab w:val="left" w:pos="800"/>
              <w:tab w:val="right" w:leader="dot" w:pos="9062"/>
            </w:tabs>
            <w:rPr>
              <w:rFonts w:eastAsiaTheme="minorEastAsia"/>
              <w:smallCaps w:val="0"/>
              <w:noProof/>
              <w:sz w:val="22"/>
              <w:szCs w:val="22"/>
              <w:lang w:eastAsia="nl-NL"/>
            </w:rPr>
          </w:pPr>
          <w:hyperlink w:anchor="_Toc49245513" w:history="1">
            <w:r w:rsidR="008D160D" w:rsidRPr="00E85ADB">
              <w:rPr>
                <w:rStyle w:val="Hyperlink"/>
                <w:noProof/>
              </w:rPr>
              <w:t>4.2</w:t>
            </w:r>
            <w:r w:rsidR="008D160D">
              <w:rPr>
                <w:rFonts w:eastAsiaTheme="minorEastAsia"/>
                <w:smallCaps w:val="0"/>
                <w:noProof/>
                <w:sz w:val="22"/>
                <w:szCs w:val="22"/>
                <w:lang w:eastAsia="nl-NL"/>
              </w:rPr>
              <w:tab/>
            </w:r>
            <w:r w:rsidR="008D160D" w:rsidRPr="00E85ADB">
              <w:rPr>
                <w:rStyle w:val="Hyperlink"/>
                <w:noProof/>
              </w:rPr>
              <w:t>Onderbouwing keuze ketenanalyse</w:t>
            </w:r>
            <w:r w:rsidR="008D160D">
              <w:rPr>
                <w:noProof/>
                <w:webHidden/>
              </w:rPr>
              <w:tab/>
            </w:r>
            <w:r w:rsidR="008D160D">
              <w:rPr>
                <w:noProof/>
                <w:webHidden/>
              </w:rPr>
              <w:fldChar w:fldCharType="begin"/>
            </w:r>
            <w:r w:rsidR="008D160D">
              <w:rPr>
                <w:noProof/>
                <w:webHidden/>
              </w:rPr>
              <w:instrText xml:space="preserve"> PAGEREF _Toc49245513 \h </w:instrText>
            </w:r>
            <w:r w:rsidR="008D160D">
              <w:rPr>
                <w:noProof/>
                <w:webHidden/>
              </w:rPr>
            </w:r>
            <w:r w:rsidR="008D160D">
              <w:rPr>
                <w:noProof/>
                <w:webHidden/>
              </w:rPr>
              <w:fldChar w:fldCharType="separate"/>
            </w:r>
            <w:r w:rsidR="00AA5B6A">
              <w:rPr>
                <w:noProof/>
                <w:webHidden/>
              </w:rPr>
              <w:t>7</w:t>
            </w:r>
            <w:r w:rsidR="008D160D">
              <w:rPr>
                <w:noProof/>
                <w:webHidden/>
              </w:rPr>
              <w:fldChar w:fldCharType="end"/>
            </w:r>
          </w:hyperlink>
        </w:p>
        <w:p w14:paraId="39B08C13" w14:textId="0371CF3B" w:rsidR="008D160D" w:rsidRDefault="00A72AA9">
          <w:pPr>
            <w:pStyle w:val="Inhopg1"/>
            <w:tabs>
              <w:tab w:val="left" w:pos="400"/>
              <w:tab w:val="right" w:leader="dot" w:pos="9062"/>
            </w:tabs>
            <w:rPr>
              <w:rFonts w:eastAsiaTheme="minorEastAsia"/>
              <w:b w:val="0"/>
              <w:bCs w:val="0"/>
              <w:caps w:val="0"/>
              <w:noProof/>
              <w:sz w:val="22"/>
              <w:szCs w:val="22"/>
              <w:lang w:eastAsia="nl-NL"/>
            </w:rPr>
          </w:pPr>
          <w:hyperlink w:anchor="_Toc49245514" w:history="1">
            <w:r w:rsidR="008D160D" w:rsidRPr="00E85ADB">
              <w:rPr>
                <w:rStyle w:val="Hyperlink"/>
                <w:noProof/>
              </w:rPr>
              <w:t>5</w:t>
            </w:r>
            <w:r w:rsidR="008D160D">
              <w:rPr>
                <w:rFonts w:eastAsiaTheme="minorEastAsia"/>
                <w:b w:val="0"/>
                <w:bCs w:val="0"/>
                <w:caps w:val="0"/>
                <w:noProof/>
                <w:sz w:val="22"/>
                <w:szCs w:val="22"/>
                <w:lang w:eastAsia="nl-NL"/>
              </w:rPr>
              <w:tab/>
            </w:r>
            <w:r w:rsidR="008D160D" w:rsidRPr="00E85ADB">
              <w:rPr>
                <w:rStyle w:val="Hyperlink"/>
                <w:noProof/>
              </w:rPr>
              <w:t>Relevante partijen</w:t>
            </w:r>
            <w:r w:rsidR="008D160D">
              <w:rPr>
                <w:noProof/>
                <w:webHidden/>
              </w:rPr>
              <w:tab/>
            </w:r>
            <w:r w:rsidR="008D160D">
              <w:rPr>
                <w:noProof/>
                <w:webHidden/>
              </w:rPr>
              <w:fldChar w:fldCharType="begin"/>
            </w:r>
            <w:r w:rsidR="008D160D">
              <w:rPr>
                <w:noProof/>
                <w:webHidden/>
              </w:rPr>
              <w:instrText xml:space="preserve"> PAGEREF _Toc49245514 \h </w:instrText>
            </w:r>
            <w:r w:rsidR="008D160D">
              <w:rPr>
                <w:noProof/>
                <w:webHidden/>
              </w:rPr>
            </w:r>
            <w:r w:rsidR="008D160D">
              <w:rPr>
                <w:noProof/>
                <w:webHidden/>
              </w:rPr>
              <w:fldChar w:fldCharType="separate"/>
            </w:r>
            <w:r w:rsidR="00AA5B6A">
              <w:rPr>
                <w:noProof/>
                <w:webHidden/>
              </w:rPr>
              <w:t>9</w:t>
            </w:r>
            <w:r w:rsidR="008D160D">
              <w:rPr>
                <w:noProof/>
                <w:webHidden/>
              </w:rPr>
              <w:fldChar w:fldCharType="end"/>
            </w:r>
          </w:hyperlink>
        </w:p>
        <w:p w14:paraId="44FA8FDE" w14:textId="50991AB6" w:rsidR="008D160D" w:rsidRDefault="00A72AA9">
          <w:pPr>
            <w:pStyle w:val="Inhopg1"/>
            <w:tabs>
              <w:tab w:val="left" w:pos="400"/>
              <w:tab w:val="right" w:leader="dot" w:pos="9062"/>
            </w:tabs>
            <w:rPr>
              <w:rFonts w:eastAsiaTheme="minorEastAsia"/>
              <w:b w:val="0"/>
              <w:bCs w:val="0"/>
              <w:caps w:val="0"/>
              <w:noProof/>
              <w:sz w:val="22"/>
              <w:szCs w:val="22"/>
              <w:lang w:eastAsia="nl-NL"/>
            </w:rPr>
          </w:pPr>
          <w:hyperlink w:anchor="_Toc49245515" w:history="1">
            <w:r w:rsidR="008D160D" w:rsidRPr="00E85ADB">
              <w:rPr>
                <w:rStyle w:val="Hyperlink"/>
                <w:noProof/>
              </w:rPr>
              <w:t>6</w:t>
            </w:r>
            <w:r w:rsidR="008D160D">
              <w:rPr>
                <w:rFonts w:eastAsiaTheme="minorEastAsia"/>
                <w:b w:val="0"/>
                <w:bCs w:val="0"/>
                <w:caps w:val="0"/>
                <w:noProof/>
                <w:sz w:val="22"/>
                <w:szCs w:val="22"/>
                <w:lang w:eastAsia="nl-NL"/>
              </w:rPr>
              <w:tab/>
            </w:r>
            <w:r w:rsidR="008D160D" w:rsidRPr="00E85ADB">
              <w:rPr>
                <w:rStyle w:val="Hyperlink"/>
                <w:noProof/>
              </w:rPr>
              <w:t>Het kwaliteitsmanagementplan</w:t>
            </w:r>
            <w:r w:rsidR="008D160D">
              <w:rPr>
                <w:noProof/>
                <w:webHidden/>
              </w:rPr>
              <w:tab/>
            </w:r>
            <w:r w:rsidR="008D160D">
              <w:rPr>
                <w:noProof/>
                <w:webHidden/>
              </w:rPr>
              <w:fldChar w:fldCharType="begin"/>
            </w:r>
            <w:r w:rsidR="008D160D">
              <w:rPr>
                <w:noProof/>
                <w:webHidden/>
              </w:rPr>
              <w:instrText xml:space="preserve"> PAGEREF _Toc49245515 \h </w:instrText>
            </w:r>
            <w:r w:rsidR="008D160D">
              <w:rPr>
                <w:noProof/>
                <w:webHidden/>
              </w:rPr>
            </w:r>
            <w:r w:rsidR="008D160D">
              <w:rPr>
                <w:noProof/>
                <w:webHidden/>
              </w:rPr>
              <w:fldChar w:fldCharType="separate"/>
            </w:r>
            <w:r w:rsidR="00AA5B6A">
              <w:rPr>
                <w:noProof/>
                <w:webHidden/>
              </w:rPr>
              <w:t>10</w:t>
            </w:r>
            <w:r w:rsidR="008D160D">
              <w:rPr>
                <w:noProof/>
                <w:webHidden/>
              </w:rPr>
              <w:fldChar w:fldCharType="end"/>
            </w:r>
          </w:hyperlink>
        </w:p>
        <w:p w14:paraId="5B6DFEC1" w14:textId="24CEA9C8" w:rsidR="008D160D" w:rsidRDefault="00A72AA9">
          <w:pPr>
            <w:pStyle w:val="Inhopg2"/>
            <w:tabs>
              <w:tab w:val="left" w:pos="800"/>
              <w:tab w:val="right" w:leader="dot" w:pos="9062"/>
            </w:tabs>
            <w:rPr>
              <w:rFonts w:eastAsiaTheme="minorEastAsia"/>
              <w:smallCaps w:val="0"/>
              <w:noProof/>
              <w:sz w:val="22"/>
              <w:szCs w:val="22"/>
              <w:lang w:eastAsia="nl-NL"/>
            </w:rPr>
          </w:pPr>
          <w:hyperlink w:anchor="_Toc49245516" w:history="1">
            <w:r w:rsidR="008D160D" w:rsidRPr="00E85ADB">
              <w:rPr>
                <w:rStyle w:val="Hyperlink"/>
                <w:noProof/>
              </w:rPr>
              <w:t>6.1</w:t>
            </w:r>
            <w:r w:rsidR="008D160D">
              <w:rPr>
                <w:rFonts w:eastAsiaTheme="minorEastAsia"/>
                <w:smallCaps w:val="0"/>
                <w:noProof/>
                <w:sz w:val="22"/>
                <w:szCs w:val="22"/>
                <w:lang w:eastAsia="nl-NL"/>
              </w:rPr>
              <w:tab/>
            </w:r>
            <w:r w:rsidR="008D160D" w:rsidRPr="00E85ADB">
              <w:rPr>
                <w:rStyle w:val="Hyperlink"/>
                <w:noProof/>
              </w:rPr>
              <w:t>Vraag 4.A.2 vanuit de CO2-prestatieladder</w:t>
            </w:r>
            <w:r w:rsidR="008D160D">
              <w:rPr>
                <w:noProof/>
                <w:webHidden/>
              </w:rPr>
              <w:tab/>
            </w:r>
            <w:r w:rsidR="008D160D">
              <w:rPr>
                <w:noProof/>
                <w:webHidden/>
              </w:rPr>
              <w:fldChar w:fldCharType="begin"/>
            </w:r>
            <w:r w:rsidR="008D160D">
              <w:rPr>
                <w:noProof/>
                <w:webHidden/>
              </w:rPr>
              <w:instrText xml:space="preserve"> PAGEREF _Toc49245516 \h </w:instrText>
            </w:r>
            <w:r w:rsidR="008D160D">
              <w:rPr>
                <w:noProof/>
                <w:webHidden/>
              </w:rPr>
            </w:r>
            <w:r w:rsidR="008D160D">
              <w:rPr>
                <w:noProof/>
                <w:webHidden/>
              </w:rPr>
              <w:fldChar w:fldCharType="separate"/>
            </w:r>
            <w:r w:rsidR="00AA5B6A">
              <w:rPr>
                <w:noProof/>
                <w:webHidden/>
              </w:rPr>
              <w:t>10</w:t>
            </w:r>
            <w:r w:rsidR="008D160D">
              <w:rPr>
                <w:noProof/>
                <w:webHidden/>
              </w:rPr>
              <w:fldChar w:fldCharType="end"/>
            </w:r>
          </w:hyperlink>
        </w:p>
        <w:p w14:paraId="25D31A6A" w14:textId="5FBD500A" w:rsidR="008D160D" w:rsidRDefault="00A72AA9">
          <w:pPr>
            <w:pStyle w:val="Inhopg2"/>
            <w:tabs>
              <w:tab w:val="left" w:pos="800"/>
              <w:tab w:val="right" w:leader="dot" w:pos="9062"/>
            </w:tabs>
            <w:rPr>
              <w:rFonts w:eastAsiaTheme="minorEastAsia"/>
              <w:smallCaps w:val="0"/>
              <w:noProof/>
              <w:sz w:val="22"/>
              <w:szCs w:val="22"/>
              <w:lang w:eastAsia="nl-NL"/>
            </w:rPr>
          </w:pPr>
          <w:hyperlink w:anchor="_Toc49245517" w:history="1">
            <w:r w:rsidR="008D160D" w:rsidRPr="00E85ADB">
              <w:rPr>
                <w:rStyle w:val="Hyperlink"/>
                <w:noProof/>
              </w:rPr>
              <w:t>6.2</w:t>
            </w:r>
            <w:r w:rsidR="008D160D">
              <w:rPr>
                <w:rFonts w:eastAsiaTheme="minorEastAsia"/>
                <w:smallCaps w:val="0"/>
                <w:noProof/>
                <w:sz w:val="22"/>
                <w:szCs w:val="22"/>
                <w:lang w:eastAsia="nl-NL"/>
              </w:rPr>
              <w:tab/>
            </w:r>
            <w:r w:rsidR="008D160D" w:rsidRPr="00E85ADB">
              <w:rPr>
                <w:rStyle w:val="Hyperlink"/>
                <w:noProof/>
              </w:rPr>
              <w:t>ISO 14064-1 hoofdstuk 6 GHG inventory quality management</w:t>
            </w:r>
            <w:r w:rsidR="008D160D">
              <w:rPr>
                <w:noProof/>
                <w:webHidden/>
              </w:rPr>
              <w:tab/>
            </w:r>
            <w:r w:rsidR="008D160D">
              <w:rPr>
                <w:noProof/>
                <w:webHidden/>
              </w:rPr>
              <w:fldChar w:fldCharType="begin"/>
            </w:r>
            <w:r w:rsidR="008D160D">
              <w:rPr>
                <w:noProof/>
                <w:webHidden/>
              </w:rPr>
              <w:instrText xml:space="preserve"> PAGEREF _Toc49245517 \h </w:instrText>
            </w:r>
            <w:r w:rsidR="008D160D">
              <w:rPr>
                <w:noProof/>
                <w:webHidden/>
              </w:rPr>
            </w:r>
            <w:r w:rsidR="008D160D">
              <w:rPr>
                <w:noProof/>
                <w:webHidden/>
              </w:rPr>
              <w:fldChar w:fldCharType="separate"/>
            </w:r>
            <w:r w:rsidR="00AA5B6A">
              <w:rPr>
                <w:noProof/>
                <w:webHidden/>
              </w:rPr>
              <w:t>10</w:t>
            </w:r>
            <w:r w:rsidR="008D160D">
              <w:rPr>
                <w:noProof/>
                <w:webHidden/>
              </w:rPr>
              <w:fldChar w:fldCharType="end"/>
            </w:r>
          </w:hyperlink>
        </w:p>
        <w:p w14:paraId="73B23581" w14:textId="2EA9285B" w:rsidR="00562E1D" w:rsidRPr="002430BF" w:rsidRDefault="00562E1D">
          <w:pPr>
            <w:rPr>
              <w:highlight w:val="yellow"/>
            </w:rPr>
          </w:pPr>
          <w:r w:rsidRPr="002430BF">
            <w:rPr>
              <w:b/>
              <w:bCs/>
              <w:highlight w:val="yellow"/>
            </w:rPr>
            <w:fldChar w:fldCharType="end"/>
          </w:r>
        </w:p>
      </w:sdtContent>
    </w:sdt>
    <w:p w14:paraId="16BB8EE0" w14:textId="77777777" w:rsidR="00562E1D" w:rsidRPr="002430BF" w:rsidRDefault="00562E1D" w:rsidP="009B2095">
      <w:pPr>
        <w:rPr>
          <w:highlight w:val="yellow"/>
        </w:rPr>
      </w:pPr>
    </w:p>
    <w:p w14:paraId="3464E857" w14:textId="77777777" w:rsidR="009B2095" w:rsidRPr="002430BF" w:rsidRDefault="009B2095" w:rsidP="009B2095">
      <w:pPr>
        <w:rPr>
          <w:highlight w:val="yellow"/>
        </w:rPr>
      </w:pPr>
      <w:r w:rsidRPr="002430BF">
        <w:rPr>
          <w:highlight w:val="yellow"/>
        </w:rPr>
        <w:br w:type="page"/>
      </w:r>
    </w:p>
    <w:p w14:paraId="3F95CD56" w14:textId="2632F797" w:rsidR="00A407C2" w:rsidRPr="002430BF" w:rsidRDefault="0061605E" w:rsidP="00A407C2">
      <w:pPr>
        <w:pStyle w:val="Kop1"/>
      </w:pPr>
      <w:bookmarkStart w:id="0" w:name="_Toc49245506"/>
      <w:r w:rsidRPr="002430BF">
        <w:lastRenderedPageBreak/>
        <w:t>Inleiding</w:t>
      </w:r>
      <w:bookmarkEnd w:id="0"/>
    </w:p>
    <w:p w14:paraId="11373A09" w14:textId="0D6FCEEE" w:rsidR="00AC39A5" w:rsidRPr="002430BF" w:rsidRDefault="00AC39A5" w:rsidP="00A407C2">
      <w:r w:rsidRPr="002430BF">
        <w:t xml:space="preserve">Dit rapport geeft een analyse weer van de scope 3 emissies van </w:t>
      </w:r>
      <w:r w:rsidR="002430BF" w:rsidRPr="002430BF">
        <w:t>Daniël Pijnacker BV</w:t>
      </w:r>
      <w:r w:rsidRPr="002430BF">
        <w:t xml:space="preserve">. Ook wordt in dit rapport het kwaliteitsmanagementplan voor </w:t>
      </w:r>
      <w:r w:rsidR="002430BF" w:rsidRPr="002430BF">
        <w:t>Daniël Pijnacker BV</w:t>
      </w:r>
      <w:r w:rsidRPr="002430BF">
        <w:t xml:space="preserve"> beschreven. Hiermee wordt invulling gegeven aan de eisen 4.A.1 en 4.A.2 uit de CO2 prestatieladder. </w:t>
      </w:r>
    </w:p>
    <w:p w14:paraId="486AE3E1" w14:textId="78AD27CD" w:rsidR="00AC39A5" w:rsidRPr="002430BF" w:rsidRDefault="00802885" w:rsidP="00A407C2">
      <w:r w:rsidRPr="002430BF">
        <w:rPr>
          <w:noProof/>
          <w:lang w:eastAsia="nl-NL"/>
        </w:rPr>
        <w:drawing>
          <wp:anchor distT="0" distB="0" distL="114300" distR="114300" simplePos="0" relativeHeight="251658240" behindDoc="0" locked="0" layoutInCell="1" allowOverlap="1" wp14:anchorId="1846CF41" wp14:editId="174570A8">
            <wp:simplePos x="0" y="0"/>
            <wp:positionH relativeFrom="margin">
              <wp:posOffset>2500704</wp:posOffset>
            </wp:positionH>
            <wp:positionV relativeFrom="paragraph">
              <wp:posOffset>15698</wp:posOffset>
            </wp:positionV>
            <wp:extent cx="3517265" cy="2413000"/>
            <wp:effectExtent l="0" t="0" r="6985" b="635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265" cy="241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21FE0C" w14:textId="770166BB" w:rsidR="00A407C2" w:rsidRPr="002430BF" w:rsidRDefault="00A407C2" w:rsidP="00A407C2">
      <w:r w:rsidRPr="002430BF">
        <w:t xml:space="preserve">In deze paragraaf wordt nader in gegaan op de verschillende scope 3 activiteiten van </w:t>
      </w:r>
      <w:r w:rsidR="002430BF" w:rsidRPr="002430BF">
        <w:t>Daniël Pijnacker BV</w:t>
      </w:r>
      <w:r w:rsidRPr="002430BF">
        <w:t>. Dit gebeurt aan de hand van de indeling zoals weergegeven in het  GHG Protocol Corporate Value Chain (Scope 3) Standard</w:t>
      </w:r>
    </w:p>
    <w:p w14:paraId="6DF0EF47" w14:textId="77777777" w:rsidR="004C4ECF" w:rsidRPr="002430BF" w:rsidRDefault="004C4ECF" w:rsidP="004C4ECF"/>
    <w:p w14:paraId="4F18616A" w14:textId="7A8C06B4" w:rsidR="00730560" w:rsidRPr="002430BF" w:rsidRDefault="00730560" w:rsidP="00730560">
      <w:r w:rsidRPr="002430BF">
        <w:t>Conform het GHG- protocol wordt onderscheid gemaakt tussen 3 bronnen van emissies (scopes). Deze 3 bronnen kunnen onderverdeeld worden in 2 categorieën, dit zijn directe en indirecte emissies.</w:t>
      </w:r>
    </w:p>
    <w:p w14:paraId="755E0BA0" w14:textId="7BAA2AFD" w:rsidR="00730560" w:rsidRPr="002430BF" w:rsidRDefault="00730560" w:rsidP="00730560"/>
    <w:p w14:paraId="33F0FD73" w14:textId="5749FE50" w:rsidR="00730560" w:rsidRPr="002430BF" w:rsidRDefault="00730560" w:rsidP="00730560">
      <w:pPr>
        <w:pStyle w:val="Lijstalinea"/>
        <w:numPr>
          <w:ilvl w:val="0"/>
          <w:numId w:val="13"/>
        </w:numPr>
      </w:pPr>
      <w:r w:rsidRPr="002430BF">
        <w:t>Scope 1: De directe emissies. De door de eigen organisatie, gebruikte gassen en brandstoffen van bijvoorbeeld machines en wagenpark.</w:t>
      </w:r>
    </w:p>
    <w:p w14:paraId="3F37F63A" w14:textId="720FCC16" w:rsidR="00730560" w:rsidRPr="002430BF" w:rsidRDefault="00730560" w:rsidP="00730560">
      <w:pPr>
        <w:pStyle w:val="Lijstalinea"/>
        <w:numPr>
          <w:ilvl w:val="0"/>
          <w:numId w:val="13"/>
        </w:numPr>
      </w:pPr>
      <w:r w:rsidRPr="002430BF">
        <w:t>Scope 2: De indirecte emissies. Dit zijn de emissies die ontstaan zijn door de opwekking van elektriciteit en die gebruikt worden door de eigen onderneming. Volgens de CO₂ prestatieladder vallen “de eigen auto zakelijk gebruikt” en “de zakelijke vliegtuig kilometers” ook onder deze scope. Het GHG protocol schrijft deze twee toe aan de scope 3.</w:t>
      </w:r>
    </w:p>
    <w:p w14:paraId="60EDD38E" w14:textId="77777777" w:rsidR="004C4ECF" w:rsidRPr="002430BF" w:rsidRDefault="00730560" w:rsidP="00730560">
      <w:pPr>
        <w:pStyle w:val="Lijstalinea"/>
        <w:numPr>
          <w:ilvl w:val="0"/>
          <w:numId w:val="13"/>
        </w:numPr>
      </w:pPr>
      <w:r w:rsidRPr="002430BF">
        <w:t>Scope 3: De overige indirecte emissies. Deze emissies zijn een gevolg van bronnen die geen eigendom zijn van het bedrijf zelf. Hier vallen bijvoorbeeld verkeer, productie van aangekochte materialen en transport van de aangekochte materialen onder.</w:t>
      </w:r>
    </w:p>
    <w:p w14:paraId="1ED9C92D" w14:textId="71AD88C8" w:rsidR="004C4ECF" w:rsidRPr="002430BF" w:rsidRDefault="004C4ECF" w:rsidP="004C4ECF"/>
    <w:p w14:paraId="7753196A" w14:textId="22F13BB6" w:rsidR="00056979" w:rsidRPr="002430BF" w:rsidRDefault="0098375C" w:rsidP="0061605E">
      <w:pPr>
        <w:rPr>
          <w:u w:val="single"/>
        </w:rPr>
      </w:pPr>
      <w:r w:rsidRPr="002430BF">
        <w:rPr>
          <w:u w:val="single"/>
        </w:rPr>
        <w:t>Categorie indeling upstream en downstream scope 3</w:t>
      </w:r>
    </w:p>
    <w:p w14:paraId="1B8C6BD1" w14:textId="68743312" w:rsidR="0098375C" w:rsidRPr="002430BF" w:rsidRDefault="0098375C" w:rsidP="0098375C">
      <w:r w:rsidRPr="002430BF">
        <w:t>Hieronder worden de categorieën weergegeven waarin de scope 3 in is onderverdeeld, conform de CO2-prestatieladder.</w:t>
      </w:r>
    </w:p>
    <w:p w14:paraId="2786AD85" w14:textId="77777777" w:rsidR="0098375C" w:rsidRPr="002430BF" w:rsidRDefault="0098375C" w:rsidP="0098375C"/>
    <w:tbl>
      <w:tblPr>
        <w:tblStyle w:val="Tabelraster"/>
        <w:tblW w:w="0" w:type="auto"/>
        <w:tblLook w:val="04A0" w:firstRow="1" w:lastRow="0" w:firstColumn="1" w:lastColumn="0" w:noHBand="0" w:noVBand="1"/>
      </w:tblPr>
      <w:tblGrid>
        <w:gridCol w:w="421"/>
        <w:gridCol w:w="4109"/>
        <w:gridCol w:w="427"/>
        <w:gridCol w:w="4105"/>
      </w:tblGrid>
      <w:tr w:rsidR="0098375C" w:rsidRPr="002430BF" w14:paraId="619C9C83" w14:textId="77777777" w:rsidTr="008E63D1">
        <w:tc>
          <w:tcPr>
            <w:tcW w:w="4530" w:type="dxa"/>
            <w:gridSpan w:val="2"/>
            <w:tcBorders>
              <w:bottom w:val="single" w:sz="4" w:space="0" w:color="auto"/>
            </w:tcBorders>
            <w:shd w:val="clear" w:color="auto" w:fill="BFBFBF" w:themeFill="background1" w:themeFillShade="BF"/>
          </w:tcPr>
          <w:p w14:paraId="2D962265" w14:textId="3F500239" w:rsidR="0098375C" w:rsidRPr="002430BF" w:rsidRDefault="0098375C" w:rsidP="0098375C">
            <w:pPr>
              <w:spacing w:line="276" w:lineRule="auto"/>
              <w:rPr>
                <w:b/>
                <w:sz w:val="18"/>
                <w:szCs w:val="18"/>
              </w:rPr>
            </w:pPr>
            <w:r w:rsidRPr="002430BF">
              <w:rPr>
                <w:b/>
                <w:sz w:val="18"/>
                <w:szCs w:val="18"/>
              </w:rPr>
              <w:t>Upstream</w:t>
            </w:r>
          </w:p>
        </w:tc>
        <w:tc>
          <w:tcPr>
            <w:tcW w:w="4532" w:type="dxa"/>
            <w:gridSpan w:val="2"/>
            <w:tcBorders>
              <w:bottom w:val="single" w:sz="4" w:space="0" w:color="auto"/>
            </w:tcBorders>
            <w:shd w:val="clear" w:color="auto" w:fill="BFBFBF" w:themeFill="background1" w:themeFillShade="BF"/>
          </w:tcPr>
          <w:p w14:paraId="324B71B7" w14:textId="77777777" w:rsidR="0098375C" w:rsidRPr="002430BF" w:rsidRDefault="0098375C" w:rsidP="0098375C">
            <w:pPr>
              <w:spacing w:line="276" w:lineRule="auto"/>
              <w:rPr>
                <w:b/>
                <w:sz w:val="18"/>
                <w:szCs w:val="18"/>
              </w:rPr>
            </w:pPr>
            <w:r w:rsidRPr="002430BF">
              <w:rPr>
                <w:b/>
                <w:sz w:val="18"/>
                <w:szCs w:val="18"/>
              </w:rPr>
              <w:t>Downstream</w:t>
            </w:r>
          </w:p>
          <w:p w14:paraId="177E4152" w14:textId="2D4B06AA" w:rsidR="0098375C" w:rsidRPr="002430BF" w:rsidRDefault="0098375C" w:rsidP="0098375C">
            <w:pPr>
              <w:spacing w:line="276" w:lineRule="auto"/>
              <w:rPr>
                <w:b/>
                <w:sz w:val="18"/>
                <w:szCs w:val="18"/>
              </w:rPr>
            </w:pPr>
          </w:p>
        </w:tc>
      </w:tr>
      <w:tr w:rsidR="0098375C" w:rsidRPr="002430BF" w14:paraId="56DA4CE4" w14:textId="77777777" w:rsidTr="0098375C">
        <w:tc>
          <w:tcPr>
            <w:tcW w:w="421" w:type="dxa"/>
            <w:tcBorders>
              <w:bottom w:val="nil"/>
              <w:right w:val="nil"/>
            </w:tcBorders>
          </w:tcPr>
          <w:p w14:paraId="502D307F" w14:textId="3DD46322" w:rsidR="0098375C" w:rsidRPr="002430BF" w:rsidRDefault="0098375C" w:rsidP="0098375C">
            <w:pPr>
              <w:spacing w:line="276" w:lineRule="auto"/>
              <w:rPr>
                <w:sz w:val="18"/>
                <w:szCs w:val="18"/>
              </w:rPr>
            </w:pPr>
            <w:r w:rsidRPr="002430BF">
              <w:rPr>
                <w:sz w:val="18"/>
                <w:szCs w:val="18"/>
              </w:rPr>
              <w:t>1</w:t>
            </w:r>
          </w:p>
        </w:tc>
        <w:tc>
          <w:tcPr>
            <w:tcW w:w="4109" w:type="dxa"/>
            <w:tcBorders>
              <w:left w:val="nil"/>
              <w:bottom w:val="nil"/>
            </w:tcBorders>
          </w:tcPr>
          <w:p w14:paraId="70AA48FB" w14:textId="6519C4C7" w:rsidR="0098375C" w:rsidRPr="002430BF" w:rsidRDefault="0098375C" w:rsidP="0098375C">
            <w:pPr>
              <w:spacing w:line="276" w:lineRule="auto"/>
              <w:rPr>
                <w:sz w:val="18"/>
                <w:szCs w:val="18"/>
              </w:rPr>
            </w:pPr>
            <w:r w:rsidRPr="002430BF">
              <w:rPr>
                <w:sz w:val="18"/>
                <w:szCs w:val="18"/>
              </w:rPr>
              <w:t>Aangekochte goederen en diensten</w:t>
            </w:r>
          </w:p>
        </w:tc>
        <w:tc>
          <w:tcPr>
            <w:tcW w:w="427" w:type="dxa"/>
            <w:tcBorders>
              <w:bottom w:val="nil"/>
              <w:right w:val="nil"/>
            </w:tcBorders>
          </w:tcPr>
          <w:p w14:paraId="4FBEC503" w14:textId="1E9BD44A" w:rsidR="0098375C" w:rsidRPr="002430BF" w:rsidRDefault="0098375C" w:rsidP="0098375C">
            <w:pPr>
              <w:spacing w:line="276" w:lineRule="auto"/>
              <w:rPr>
                <w:sz w:val="18"/>
                <w:szCs w:val="18"/>
              </w:rPr>
            </w:pPr>
            <w:r w:rsidRPr="002430BF">
              <w:rPr>
                <w:sz w:val="18"/>
                <w:szCs w:val="18"/>
              </w:rPr>
              <w:t>9</w:t>
            </w:r>
          </w:p>
        </w:tc>
        <w:tc>
          <w:tcPr>
            <w:tcW w:w="4105" w:type="dxa"/>
            <w:tcBorders>
              <w:left w:val="nil"/>
              <w:bottom w:val="nil"/>
            </w:tcBorders>
          </w:tcPr>
          <w:p w14:paraId="6498D96E" w14:textId="70E0D41B" w:rsidR="0098375C" w:rsidRPr="002430BF" w:rsidRDefault="0098375C" w:rsidP="0098375C">
            <w:pPr>
              <w:spacing w:line="276" w:lineRule="auto"/>
              <w:rPr>
                <w:sz w:val="18"/>
                <w:szCs w:val="18"/>
              </w:rPr>
            </w:pPr>
            <w:r w:rsidRPr="002430BF">
              <w:rPr>
                <w:sz w:val="18"/>
                <w:szCs w:val="18"/>
              </w:rPr>
              <w:t>Downstream transport en distributie</w:t>
            </w:r>
          </w:p>
        </w:tc>
      </w:tr>
      <w:tr w:rsidR="0098375C" w:rsidRPr="002430BF" w14:paraId="4EDB0B38" w14:textId="77777777" w:rsidTr="0098375C">
        <w:tc>
          <w:tcPr>
            <w:tcW w:w="421" w:type="dxa"/>
            <w:tcBorders>
              <w:top w:val="nil"/>
              <w:bottom w:val="nil"/>
              <w:right w:val="nil"/>
            </w:tcBorders>
          </w:tcPr>
          <w:p w14:paraId="0FC4B14E" w14:textId="17EBF0E9" w:rsidR="0098375C" w:rsidRPr="002430BF" w:rsidRDefault="0098375C" w:rsidP="0098375C">
            <w:pPr>
              <w:spacing w:line="276" w:lineRule="auto"/>
              <w:rPr>
                <w:sz w:val="18"/>
                <w:szCs w:val="18"/>
              </w:rPr>
            </w:pPr>
            <w:r w:rsidRPr="002430BF">
              <w:rPr>
                <w:sz w:val="18"/>
                <w:szCs w:val="18"/>
              </w:rPr>
              <w:t>2</w:t>
            </w:r>
          </w:p>
        </w:tc>
        <w:tc>
          <w:tcPr>
            <w:tcW w:w="4109" w:type="dxa"/>
            <w:tcBorders>
              <w:top w:val="nil"/>
              <w:left w:val="nil"/>
              <w:bottom w:val="nil"/>
            </w:tcBorders>
          </w:tcPr>
          <w:p w14:paraId="07D2B516" w14:textId="2C1C824B" w:rsidR="0098375C" w:rsidRPr="002430BF" w:rsidRDefault="0098375C" w:rsidP="0098375C">
            <w:pPr>
              <w:spacing w:line="276" w:lineRule="auto"/>
              <w:rPr>
                <w:sz w:val="18"/>
                <w:szCs w:val="18"/>
              </w:rPr>
            </w:pPr>
            <w:r w:rsidRPr="002430BF">
              <w:rPr>
                <w:sz w:val="18"/>
                <w:szCs w:val="18"/>
              </w:rPr>
              <w:t>Kapitaal goederen</w:t>
            </w:r>
          </w:p>
        </w:tc>
        <w:tc>
          <w:tcPr>
            <w:tcW w:w="427" w:type="dxa"/>
            <w:tcBorders>
              <w:top w:val="nil"/>
              <w:bottom w:val="nil"/>
              <w:right w:val="nil"/>
            </w:tcBorders>
          </w:tcPr>
          <w:p w14:paraId="3979C5DD" w14:textId="3C503D4F" w:rsidR="0098375C" w:rsidRPr="002430BF" w:rsidRDefault="0098375C" w:rsidP="0098375C">
            <w:pPr>
              <w:spacing w:line="276" w:lineRule="auto"/>
              <w:rPr>
                <w:sz w:val="18"/>
                <w:szCs w:val="18"/>
              </w:rPr>
            </w:pPr>
            <w:r w:rsidRPr="002430BF">
              <w:rPr>
                <w:sz w:val="18"/>
                <w:szCs w:val="18"/>
              </w:rPr>
              <w:t>10</w:t>
            </w:r>
          </w:p>
        </w:tc>
        <w:tc>
          <w:tcPr>
            <w:tcW w:w="4105" w:type="dxa"/>
            <w:tcBorders>
              <w:top w:val="nil"/>
              <w:left w:val="nil"/>
              <w:bottom w:val="nil"/>
            </w:tcBorders>
          </w:tcPr>
          <w:p w14:paraId="0FA883F5" w14:textId="3FAAB312" w:rsidR="0098375C" w:rsidRPr="002430BF" w:rsidRDefault="0098375C" w:rsidP="0098375C">
            <w:pPr>
              <w:spacing w:line="276" w:lineRule="auto"/>
              <w:rPr>
                <w:sz w:val="18"/>
                <w:szCs w:val="18"/>
              </w:rPr>
            </w:pPr>
            <w:r w:rsidRPr="002430BF">
              <w:rPr>
                <w:sz w:val="18"/>
                <w:szCs w:val="18"/>
              </w:rPr>
              <w:t>Ver- of bewerken van verkochte producten</w:t>
            </w:r>
          </w:p>
        </w:tc>
      </w:tr>
      <w:tr w:rsidR="0098375C" w:rsidRPr="002430BF" w14:paraId="35BAF9DC" w14:textId="77777777" w:rsidTr="0098375C">
        <w:tc>
          <w:tcPr>
            <w:tcW w:w="421" w:type="dxa"/>
            <w:tcBorders>
              <w:top w:val="nil"/>
              <w:bottom w:val="nil"/>
              <w:right w:val="nil"/>
            </w:tcBorders>
          </w:tcPr>
          <w:p w14:paraId="05806EFA" w14:textId="77777777" w:rsidR="0098375C" w:rsidRPr="002430BF" w:rsidRDefault="0098375C" w:rsidP="00941B58">
            <w:pPr>
              <w:spacing w:line="276" w:lineRule="auto"/>
              <w:rPr>
                <w:sz w:val="18"/>
                <w:szCs w:val="18"/>
              </w:rPr>
            </w:pPr>
            <w:r w:rsidRPr="002430BF">
              <w:rPr>
                <w:sz w:val="18"/>
                <w:szCs w:val="18"/>
              </w:rPr>
              <w:t>3</w:t>
            </w:r>
          </w:p>
        </w:tc>
        <w:tc>
          <w:tcPr>
            <w:tcW w:w="4109" w:type="dxa"/>
            <w:tcBorders>
              <w:top w:val="nil"/>
              <w:left w:val="nil"/>
              <w:bottom w:val="nil"/>
            </w:tcBorders>
          </w:tcPr>
          <w:p w14:paraId="2B2E2505" w14:textId="029BB1B3" w:rsidR="0098375C" w:rsidRPr="002430BF" w:rsidRDefault="0098375C" w:rsidP="00941B58">
            <w:pPr>
              <w:spacing w:line="276" w:lineRule="auto"/>
              <w:rPr>
                <w:sz w:val="18"/>
                <w:szCs w:val="18"/>
              </w:rPr>
            </w:pPr>
            <w:r w:rsidRPr="002430BF">
              <w:rPr>
                <w:sz w:val="18"/>
                <w:szCs w:val="18"/>
              </w:rPr>
              <w:t xml:space="preserve">Brandstof en energie gerelateerde activiteiten </w:t>
            </w:r>
          </w:p>
        </w:tc>
        <w:tc>
          <w:tcPr>
            <w:tcW w:w="427" w:type="dxa"/>
            <w:tcBorders>
              <w:top w:val="nil"/>
              <w:bottom w:val="nil"/>
              <w:right w:val="nil"/>
            </w:tcBorders>
          </w:tcPr>
          <w:p w14:paraId="244EED23" w14:textId="77777777" w:rsidR="0098375C" w:rsidRPr="002430BF" w:rsidRDefault="0098375C" w:rsidP="00941B58">
            <w:pPr>
              <w:spacing w:line="276" w:lineRule="auto"/>
              <w:rPr>
                <w:sz w:val="18"/>
                <w:szCs w:val="18"/>
              </w:rPr>
            </w:pPr>
            <w:r w:rsidRPr="002430BF">
              <w:rPr>
                <w:sz w:val="18"/>
                <w:szCs w:val="18"/>
              </w:rPr>
              <w:t>11</w:t>
            </w:r>
          </w:p>
        </w:tc>
        <w:tc>
          <w:tcPr>
            <w:tcW w:w="4105" w:type="dxa"/>
            <w:tcBorders>
              <w:top w:val="nil"/>
              <w:left w:val="nil"/>
              <w:bottom w:val="nil"/>
            </w:tcBorders>
          </w:tcPr>
          <w:p w14:paraId="02EC13A9" w14:textId="77777777" w:rsidR="0098375C" w:rsidRPr="002430BF" w:rsidRDefault="0098375C" w:rsidP="00941B58">
            <w:pPr>
              <w:spacing w:line="276" w:lineRule="auto"/>
              <w:rPr>
                <w:sz w:val="18"/>
                <w:szCs w:val="18"/>
              </w:rPr>
            </w:pPr>
            <w:r w:rsidRPr="002430BF">
              <w:rPr>
                <w:sz w:val="18"/>
                <w:szCs w:val="18"/>
              </w:rPr>
              <w:t>Gebruik van verkochte producten</w:t>
            </w:r>
          </w:p>
        </w:tc>
      </w:tr>
      <w:tr w:rsidR="0098375C" w:rsidRPr="002430BF" w14:paraId="33C06175" w14:textId="77777777" w:rsidTr="0098375C">
        <w:tc>
          <w:tcPr>
            <w:tcW w:w="421" w:type="dxa"/>
            <w:tcBorders>
              <w:top w:val="nil"/>
              <w:bottom w:val="nil"/>
              <w:right w:val="nil"/>
            </w:tcBorders>
          </w:tcPr>
          <w:p w14:paraId="444A4C8B" w14:textId="611040FE" w:rsidR="0098375C" w:rsidRPr="002430BF" w:rsidRDefault="0098375C" w:rsidP="0098375C">
            <w:pPr>
              <w:spacing w:line="276" w:lineRule="auto"/>
              <w:rPr>
                <w:sz w:val="18"/>
                <w:szCs w:val="18"/>
              </w:rPr>
            </w:pPr>
          </w:p>
        </w:tc>
        <w:tc>
          <w:tcPr>
            <w:tcW w:w="4109" w:type="dxa"/>
            <w:tcBorders>
              <w:top w:val="nil"/>
              <w:left w:val="nil"/>
              <w:bottom w:val="nil"/>
            </w:tcBorders>
          </w:tcPr>
          <w:p w14:paraId="71674B3B" w14:textId="29FCD23B" w:rsidR="0098375C" w:rsidRPr="002430BF" w:rsidRDefault="0098375C" w:rsidP="0098375C">
            <w:pPr>
              <w:spacing w:line="276" w:lineRule="auto"/>
              <w:rPr>
                <w:sz w:val="18"/>
                <w:szCs w:val="18"/>
              </w:rPr>
            </w:pPr>
            <w:r w:rsidRPr="002430BF">
              <w:rPr>
                <w:sz w:val="18"/>
                <w:szCs w:val="18"/>
              </w:rPr>
              <w:t>(niet opgenomen in scope 1 of scope 2)</w:t>
            </w:r>
          </w:p>
        </w:tc>
        <w:tc>
          <w:tcPr>
            <w:tcW w:w="427" w:type="dxa"/>
            <w:tcBorders>
              <w:top w:val="nil"/>
              <w:bottom w:val="nil"/>
              <w:right w:val="nil"/>
            </w:tcBorders>
          </w:tcPr>
          <w:p w14:paraId="22BE155D" w14:textId="18C51976" w:rsidR="0098375C" w:rsidRPr="002430BF" w:rsidRDefault="0098375C" w:rsidP="0098375C">
            <w:pPr>
              <w:spacing w:line="276" w:lineRule="auto"/>
              <w:rPr>
                <w:sz w:val="18"/>
                <w:szCs w:val="18"/>
              </w:rPr>
            </w:pPr>
            <w:r w:rsidRPr="002430BF">
              <w:rPr>
                <w:sz w:val="18"/>
                <w:szCs w:val="18"/>
              </w:rPr>
              <w:t>12</w:t>
            </w:r>
          </w:p>
        </w:tc>
        <w:tc>
          <w:tcPr>
            <w:tcW w:w="4105" w:type="dxa"/>
            <w:tcBorders>
              <w:top w:val="nil"/>
              <w:left w:val="nil"/>
              <w:bottom w:val="nil"/>
            </w:tcBorders>
          </w:tcPr>
          <w:p w14:paraId="71465F3B" w14:textId="5C6E8E92" w:rsidR="0098375C" w:rsidRPr="002430BF" w:rsidRDefault="0098375C" w:rsidP="0098375C">
            <w:pPr>
              <w:spacing w:line="276" w:lineRule="auto"/>
              <w:rPr>
                <w:sz w:val="18"/>
                <w:szCs w:val="18"/>
              </w:rPr>
            </w:pPr>
            <w:r w:rsidRPr="002430BF">
              <w:rPr>
                <w:sz w:val="18"/>
                <w:szCs w:val="18"/>
              </w:rPr>
              <w:t>End-of-life verwerking van verkochte producten</w:t>
            </w:r>
          </w:p>
        </w:tc>
      </w:tr>
      <w:tr w:rsidR="0098375C" w:rsidRPr="002430BF" w14:paraId="2CF4BCC9" w14:textId="77777777" w:rsidTr="0098375C">
        <w:tc>
          <w:tcPr>
            <w:tcW w:w="421" w:type="dxa"/>
            <w:tcBorders>
              <w:top w:val="nil"/>
              <w:bottom w:val="nil"/>
              <w:right w:val="nil"/>
            </w:tcBorders>
          </w:tcPr>
          <w:p w14:paraId="76678544" w14:textId="181B6C16" w:rsidR="0098375C" w:rsidRPr="002430BF" w:rsidRDefault="0098375C" w:rsidP="0098375C">
            <w:pPr>
              <w:spacing w:line="276" w:lineRule="auto"/>
              <w:rPr>
                <w:sz w:val="18"/>
                <w:szCs w:val="18"/>
              </w:rPr>
            </w:pPr>
            <w:r w:rsidRPr="002430BF">
              <w:rPr>
                <w:sz w:val="18"/>
                <w:szCs w:val="18"/>
              </w:rPr>
              <w:t>4</w:t>
            </w:r>
          </w:p>
        </w:tc>
        <w:tc>
          <w:tcPr>
            <w:tcW w:w="4109" w:type="dxa"/>
            <w:tcBorders>
              <w:top w:val="nil"/>
              <w:left w:val="nil"/>
              <w:bottom w:val="nil"/>
            </w:tcBorders>
          </w:tcPr>
          <w:p w14:paraId="7C7071A5" w14:textId="3B31C602" w:rsidR="0098375C" w:rsidRPr="002430BF" w:rsidRDefault="0098375C" w:rsidP="0098375C">
            <w:pPr>
              <w:spacing w:line="276" w:lineRule="auto"/>
              <w:rPr>
                <w:sz w:val="18"/>
                <w:szCs w:val="18"/>
              </w:rPr>
            </w:pPr>
            <w:r w:rsidRPr="002430BF">
              <w:rPr>
                <w:sz w:val="18"/>
                <w:szCs w:val="18"/>
              </w:rPr>
              <w:t>Upstream transport en distributie</w:t>
            </w:r>
          </w:p>
        </w:tc>
        <w:tc>
          <w:tcPr>
            <w:tcW w:w="427" w:type="dxa"/>
            <w:tcBorders>
              <w:top w:val="nil"/>
              <w:bottom w:val="nil"/>
              <w:right w:val="nil"/>
            </w:tcBorders>
          </w:tcPr>
          <w:p w14:paraId="00C4AF2C" w14:textId="1860548D" w:rsidR="0098375C" w:rsidRPr="002430BF" w:rsidRDefault="0098375C" w:rsidP="0098375C">
            <w:pPr>
              <w:spacing w:line="276" w:lineRule="auto"/>
              <w:rPr>
                <w:sz w:val="18"/>
                <w:szCs w:val="18"/>
              </w:rPr>
            </w:pPr>
            <w:r w:rsidRPr="002430BF">
              <w:rPr>
                <w:sz w:val="18"/>
                <w:szCs w:val="18"/>
              </w:rPr>
              <w:t>13</w:t>
            </w:r>
          </w:p>
        </w:tc>
        <w:tc>
          <w:tcPr>
            <w:tcW w:w="4105" w:type="dxa"/>
            <w:tcBorders>
              <w:top w:val="nil"/>
              <w:left w:val="nil"/>
              <w:bottom w:val="nil"/>
            </w:tcBorders>
          </w:tcPr>
          <w:p w14:paraId="1480D193" w14:textId="7511A2BA" w:rsidR="0098375C" w:rsidRPr="002430BF" w:rsidRDefault="0098375C" w:rsidP="0098375C">
            <w:pPr>
              <w:spacing w:line="276" w:lineRule="auto"/>
              <w:rPr>
                <w:sz w:val="18"/>
                <w:szCs w:val="18"/>
              </w:rPr>
            </w:pPr>
            <w:r w:rsidRPr="002430BF">
              <w:rPr>
                <w:sz w:val="18"/>
                <w:szCs w:val="18"/>
              </w:rPr>
              <w:t>Downstream geleasete activa</w:t>
            </w:r>
          </w:p>
        </w:tc>
      </w:tr>
      <w:tr w:rsidR="0098375C" w:rsidRPr="002430BF" w14:paraId="0CD3757A" w14:textId="77777777" w:rsidTr="0098375C">
        <w:tc>
          <w:tcPr>
            <w:tcW w:w="421" w:type="dxa"/>
            <w:tcBorders>
              <w:top w:val="nil"/>
              <w:bottom w:val="nil"/>
              <w:right w:val="nil"/>
            </w:tcBorders>
          </w:tcPr>
          <w:p w14:paraId="43FB3BD4" w14:textId="6F0E5671" w:rsidR="0098375C" w:rsidRPr="002430BF" w:rsidRDefault="0098375C" w:rsidP="0098375C">
            <w:pPr>
              <w:spacing w:line="276" w:lineRule="auto"/>
              <w:rPr>
                <w:sz w:val="18"/>
                <w:szCs w:val="18"/>
              </w:rPr>
            </w:pPr>
            <w:r w:rsidRPr="002430BF">
              <w:rPr>
                <w:sz w:val="18"/>
                <w:szCs w:val="18"/>
              </w:rPr>
              <w:t>5</w:t>
            </w:r>
          </w:p>
        </w:tc>
        <w:tc>
          <w:tcPr>
            <w:tcW w:w="4109" w:type="dxa"/>
            <w:tcBorders>
              <w:top w:val="nil"/>
              <w:left w:val="nil"/>
              <w:bottom w:val="nil"/>
            </w:tcBorders>
          </w:tcPr>
          <w:p w14:paraId="18331D2E" w14:textId="2A9C29BD" w:rsidR="0098375C" w:rsidRPr="002430BF" w:rsidRDefault="0098375C" w:rsidP="0098375C">
            <w:pPr>
              <w:spacing w:line="276" w:lineRule="auto"/>
              <w:rPr>
                <w:sz w:val="18"/>
                <w:szCs w:val="18"/>
              </w:rPr>
            </w:pPr>
            <w:r w:rsidRPr="002430BF">
              <w:rPr>
                <w:sz w:val="18"/>
                <w:szCs w:val="18"/>
              </w:rPr>
              <w:t>Productieafval</w:t>
            </w:r>
          </w:p>
        </w:tc>
        <w:tc>
          <w:tcPr>
            <w:tcW w:w="427" w:type="dxa"/>
            <w:tcBorders>
              <w:top w:val="nil"/>
              <w:bottom w:val="nil"/>
              <w:right w:val="nil"/>
            </w:tcBorders>
          </w:tcPr>
          <w:p w14:paraId="7BF331BE" w14:textId="42987313" w:rsidR="0098375C" w:rsidRPr="002430BF" w:rsidRDefault="0098375C" w:rsidP="0098375C">
            <w:pPr>
              <w:spacing w:line="276" w:lineRule="auto"/>
              <w:rPr>
                <w:sz w:val="18"/>
                <w:szCs w:val="18"/>
              </w:rPr>
            </w:pPr>
            <w:r w:rsidRPr="002430BF">
              <w:rPr>
                <w:sz w:val="18"/>
                <w:szCs w:val="18"/>
              </w:rPr>
              <w:t>14</w:t>
            </w:r>
          </w:p>
        </w:tc>
        <w:tc>
          <w:tcPr>
            <w:tcW w:w="4105" w:type="dxa"/>
            <w:tcBorders>
              <w:top w:val="nil"/>
              <w:left w:val="nil"/>
              <w:bottom w:val="nil"/>
            </w:tcBorders>
          </w:tcPr>
          <w:p w14:paraId="3BC84387" w14:textId="531F342C" w:rsidR="0098375C" w:rsidRPr="002430BF" w:rsidRDefault="0098375C" w:rsidP="0098375C">
            <w:pPr>
              <w:spacing w:line="276" w:lineRule="auto"/>
              <w:rPr>
                <w:sz w:val="18"/>
                <w:szCs w:val="18"/>
              </w:rPr>
            </w:pPr>
            <w:r w:rsidRPr="002430BF">
              <w:rPr>
                <w:sz w:val="18"/>
                <w:szCs w:val="18"/>
              </w:rPr>
              <w:t>Franchisehouders</w:t>
            </w:r>
          </w:p>
        </w:tc>
      </w:tr>
      <w:tr w:rsidR="0098375C" w:rsidRPr="002430BF" w14:paraId="76D55056" w14:textId="77777777" w:rsidTr="0098375C">
        <w:tc>
          <w:tcPr>
            <w:tcW w:w="421" w:type="dxa"/>
            <w:tcBorders>
              <w:top w:val="nil"/>
              <w:bottom w:val="nil"/>
              <w:right w:val="nil"/>
            </w:tcBorders>
          </w:tcPr>
          <w:p w14:paraId="7DCFBEC4" w14:textId="14170DB6" w:rsidR="0098375C" w:rsidRPr="002430BF" w:rsidRDefault="0098375C" w:rsidP="0098375C">
            <w:pPr>
              <w:spacing w:line="276" w:lineRule="auto"/>
              <w:rPr>
                <w:sz w:val="18"/>
                <w:szCs w:val="18"/>
              </w:rPr>
            </w:pPr>
            <w:r w:rsidRPr="002430BF">
              <w:rPr>
                <w:sz w:val="18"/>
                <w:szCs w:val="18"/>
              </w:rPr>
              <w:t>6</w:t>
            </w:r>
          </w:p>
        </w:tc>
        <w:tc>
          <w:tcPr>
            <w:tcW w:w="4109" w:type="dxa"/>
            <w:tcBorders>
              <w:top w:val="nil"/>
              <w:left w:val="nil"/>
              <w:bottom w:val="nil"/>
            </w:tcBorders>
          </w:tcPr>
          <w:p w14:paraId="25D66B40" w14:textId="3854FD70" w:rsidR="0098375C" w:rsidRPr="002430BF" w:rsidRDefault="0098375C" w:rsidP="0098375C">
            <w:pPr>
              <w:spacing w:line="276" w:lineRule="auto"/>
              <w:rPr>
                <w:strike/>
                <w:sz w:val="18"/>
                <w:szCs w:val="18"/>
              </w:rPr>
            </w:pPr>
            <w:r w:rsidRPr="002430BF">
              <w:rPr>
                <w:strike/>
                <w:sz w:val="18"/>
                <w:szCs w:val="18"/>
              </w:rPr>
              <w:t>Personenvervoer onder werktijd (scope 2)</w:t>
            </w:r>
          </w:p>
        </w:tc>
        <w:tc>
          <w:tcPr>
            <w:tcW w:w="427" w:type="dxa"/>
            <w:tcBorders>
              <w:top w:val="nil"/>
              <w:bottom w:val="nil"/>
              <w:right w:val="nil"/>
            </w:tcBorders>
          </w:tcPr>
          <w:p w14:paraId="2DDD4E71" w14:textId="6D836F2D" w:rsidR="0098375C" w:rsidRPr="002430BF" w:rsidRDefault="0098375C" w:rsidP="0098375C">
            <w:pPr>
              <w:spacing w:line="276" w:lineRule="auto"/>
              <w:rPr>
                <w:sz w:val="18"/>
                <w:szCs w:val="18"/>
              </w:rPr>
            </w:pPr>
            <w:r w:rsidRPr="002430BF">
              <w:rPr>
                <w:sz w:val="18"/>
                <w:szCs w:val="18"/>
              </w:rPr>
              <w:t>15</w:t>
            </w:r>
          </w:p>
        </w:tc>
        <w:tc>
          <w:tcPr>
            <w:tcW w:w="4105" w:type="dxa"/>
            <w:tcBorders>
              <w:top w:val="nil"/>
              <w:left w:val="nil"/>
              <w:bottom w:val="nil"/>
            </w:tcBorders>
          </w:tcPr>
          <w:p w14:paraId="1E1716E0" w14:textId="72327730" w:rsidR="0098375C" w:rsidRPr="002430BF" w:rsidRDefault="0098375C" w:rsidP="0098375C">
            <w:pPr>
              <w:spacing w:line="276" w:lineRule="auto"/>
              <w:rPr>
                <w:sz w:val="18"/>
                <w:szCs w:val="18"/>
              </w:rPr>
            </w:pPr>
            <w:r w:rsidRPr="002430BF">
              <w:rPr>
                <w:sz w:val="18"/>
                <w:szCs w:val="18"/>
              </w:rPr>
              <w:t>Investeringen</w:t>
            </w:r>
          </w:p>
        </w:tc>
      </w:tr>
      <w:tr w:rsidR="0098375C" w:rsidRPr="002430BF" w14:paraId="690E4154" w14:textId="77777777" w:rsidTr="0098375C">
        <w:tc>
          <w:tcPr>
            <w:tcW w:w="421" w:type="dxa"/>
            <w:tcBorders>
              <w:top w:val="nil"/>
              <w:bottom w:val="nil"/>
              <w:right w:val="nil"/>
            </w:tcBorders>
          </w:tcPr>
          <w:p w14:paraId="274E7E39" w14:textId="5375BEE1" w:rsidR="0098375C" w:rsidRPr="002430BF" w:rsidRDefault="0098375C" w:rsidP="0098375C">
            <w:pPr>
              <w:spacing w:line="276" w:lineRule="auto"/>
              <w:rPr>
                <w:sz w:val="18"/>
                <w:szCs w:val="18"/>
              </w:rPr>
            </w:pPr>
            <w:r w:rsidRPr="002430BF">
              <w:rPr>
                <w:sz w:val="18"/>
                <w:szCs w:val="18"/>
              </w:rPr>
              <w:t>7</w:t>
            </w:r>
          </w:p>
        </w:tc>
        <w:tc>
          <w:tcPr>
            <w:tcW w:w="4109" w:type="dxa"/>
            <w:tcBorders>
              <w:top w:val="nil"/>
              <w:left w:val="nil"/>
              <w:bottom w:val="nil"/>
            </w:tcBorders>
          </w:tcPr>
          <w:p w14:paraId="094D0D54" w14:textId="5A3DA607" w:rsidR="0098375C" w:rsidRPr="002430BF" w:rsidRDefault="0098375C" w:rsidP="0098375C">
            <w:pPr>
              <w:spacing w:line="276" w:lineRule="auto"/>
              <w:rPr>
                <w:sz w:val="18"/>
                <w:szCs w:val="18"/>
              </w:rPr>
            </w:pPr>
            <w:r w:rsidRPr="002430BF">
              <w:rPr>
                <w:sz w:val="18"/>
                <w:szCs w:val="18"/>
              </w:rPr>
              <w:t>Woon-werkverkeer</w:t>
            </w:r>
          </w:p>
        </w:tc>
        <w:tc>
          <w:tcPr>
            <w:tcW w:w="427" w:type="dxa"/>
            <w:tcBorders>
              <w:top w:val="nil"/>
              <w:bottom w:val="nil"/>
              <w:right w:val="nil"/>
            </w:tcBorders>
          </w:tcPr>
          <w:p w14:paraId="6C0500F7" w14:textId="42E5AFF3" w:rsidR="0098375C" w:rsidRPr="002430BF" w:rsidRDefault="0098375C" w:rsidP="0098375C">
            <w:pPr>
              <w:spacing w:line="276" w:lineRule="auto"/>
              <w:rPr>
                <w:sz w:val="18"/>
                <w:szCs w:val="18"/>
              </w:rPr>
            </w:pPr>
          </w:p>
        </w:tc>
        <w:tc>
          <w:tcPr>
            <w:tcW w:w="4105" w:type="dxa"/>
            <w:tcBorders>
              <w:top w:val="nil"/>
              <w:left w:val="nil"/>
              <w:bottom w:val="nil"/>
            </w:tcBorders>
          </w:tcPr>
          <w:p w14:paraId="1702FF71" w14:textId="77777777" w:rsidR="0098375C" w:rsidRPr="002430BF" w:rsidRDefault="0098375C" w:rsidP="0098375C">
            <w:pPr>
              <w:spacing w:line="276" w:lineRule="auto"/>
              <w:rPr>
                <w:sz w:val="18"/>
                <w:szCs w:val="18"/>
              </w:rPr>
            </w:pPr>
          </w:p>
        </w:tc>
      </w:tr>
      <w:tr w:rsidR="0098375C" w:rsidRPr="002430BF" w14:paraId="4D04D44D" w14:textId="77777777" w:rsidTr="0098375C">
        <w:tc>
          <w:tcPr>
            <w:tcW w:w="421" w:type="dxa"/>
            <w:tcBorders>
              <w:top w:val="nil"/>
              <w:right w:val="nil"/>
            </w:tcBorders>
          </w:tcPr>
          <w:p w14:paraId="62ED24F5" w14:textId="6728ADAE" w:rsidR="0098375C" w:rsidRPr="002430BF" w:rsidRDefault="0098375C" w:rsidP="0098375C">
            <w:pPr>
              <w:spacing w:line="276" w:lineRule="auto"/>
              <w:rPr>
                <w:sz w:val="18"/>
                <w:szCs w:val="18"/>
              </w:rPr>
            </w:pPr>
            <w:r w:rsidRPr="002430BF">
              <w:rPr>
                <w:sz w:val="18"/>
                <w:szCs w:val="18"/>
              </w:rPr>
              <w:t>8</w:t>
            </w:r>
          </w:p>
        </w:tc>
        <w:tc>
          <w:tcPr>
            <w:tcW w:w="4109" w:type="dxa"/>
            <w:tcBorders>
              <w:top w:val="nil"/>
              <w:left w:val="nil"/>
            </w:tcBorders>
          </w:tcPr>
          <w:p w14:paraId="3EAFA4FE" w14:textId="3E77635C" w:rsidR="0098375C" w:rsidRPr="002430BF" w:rsidRDefault="0098375C" w:rsidP="0098375C">
            <w:pPr>
              <w:spacing w:line="276" w:lineRule="auto"/>
              <w:rPr>
                <w:sz w:val="18"/>
                <w:szCs w:val="18"/>
              </w:rPr>
            </w:pPr>
            <w:r w:rsidRPr="002430BF">
              <w:rPr>
                <w:sz w:val="18"/>
                <w:szCs w:val="18"/>
              </w:rPr>
              <w:t>Upstream geleasete activa</w:t>
            </w:r>
          </w:p>
        </w:tc>
        <w:tc>
          <w:tcPr>
            <w:tcW w:w="427" w:type="dxa"/>
            <w:tcBorders>
              <w:top w:val="nil"/>
              <w:right w:val="nil"/>
            </w:tcBorders>
          </w:tcPr>
          <w:p w14:paraId="735983E1" w14:textId="77777777" w:rsidR="0098375C" w:rsidRPr="002430BF" w:rsidRDefault="0098375C" w:rsidP="0098375C">
            <w:pPr>
              <w:spacing w:line="276" w:lineRule="auto"/>
              <w:rPr>
                <w:sz w:val="18"/>
                <w:szCs w:val="18"/>
              </w:rPr>
            </w:pPr>
          </w:p>
        </w:tc>
        <w:tc>
          <w:tcPr>
            <w:tcW w:w="4105" w:type="dxa"/>
            <w:tcBorders>
              <w:top w:val="nil"/>
              <w:left w:val="nil"/>
            </w:tcBorders>
          </w:tcPr>
          <w:p w14:paraId="4C254640" w14:textId="77777777" w:rsidR="0098375C" w:rsidRPr="002430BF" w:rsidRDefault="0098375C" w:rsidP="0098375C">
            <w:pPr>
              <w:spacing w:line="276" w:lineRule="auto"/>
              <w:rPr>
                <w:sz w:val="18"/>
                <w:szCs w:val="18"/>
              </w:rPr>
            </w:pPr>
          </w:p>
        </w:tc>
      </w:tr>
    </w:tbl>
    <w:p w14:paraId="6EA11B0E" w14:textId="77777777" w:rsidR="00856CBF" w:rsidRPr="002430BF" w:rsidRDefault="00856CBF">
      <w:pPr>
        <w:spacing w:after="200"/>
        <w:rPr>
          <w:highlight w:val="yellow"/>
          <w:u w:val="single"/>
        </w:rPr>
      </w:pPr>
      <w:r w:rsidRPr="002430BF">
        <w:rPr>
          <w:highlight w:val="yellow"/>
          <w:u w:val="single"/>
        </w:rPr>
        <w:br w:type="page"/>
      </w:r>
    </w:p>
    <w:p w14:paraId="1E8C3E15" w14:textId="3DEE7D47" w:rsidR="00856CBF" w:rsidRPr="00FB25E3" w:rsidRDefault="00856CBF" w:rsidP="00856CBF">
      <w:pPr>
        <w:pStyle w:val="Kop1"/>
      </w:pPr>
      <w:bookmarkStart w:id="1" w:name="_Toc49245507"/>
      <w:r w:rsidRPr="00FB25E3">
        <w:lastRenderedPageBreak/>
        <w:t>Methode scope 3 analyse</w:t>
      </w:r>
      <w:bookmarkEnd w:id="1"/>
    </w:p>
    <w:p w14:paraId="2E800386" w14:textId="7F0B6356" w:rsidR="00856CBF" w:rsidRPr="00FB25E3" w:rsidRDefault="00856CBF" w:rsidP="00856CBF">
      <w:r w:rsidRPr="00FB25E3">
        <w:t xml:space="preserve">De CO2 uitstoot van de scope 3 emissies van </w:t>
      </w:r>
      <w:r w:rsidR="00CE6DA7" w:rsidRPr="00FB25E3">
        <w:t>Daniël Pijnacker BV</w:t>
      </w:r>
      <w:r w:rsidRPr="00FB25E3">
        <w:t xml:space="preserve"> is berekend op basis van 2 voorbeeld projecten waarvan alle leveranciers en onderaannemers bekend zijn. Van al deze leveranciers is de transportafstand van de eigen locatie naar de projectlocatie van </w:t>
      </w:r>
      <w:r w:rsidR="00CE6DA7" w:rsidRPr="00FB25E3">
        <w:t>Daniël Pijnacker BV</w:t>
      </w:r>
      <w:r w:rsidRPr="00FB25E3">
        <w:t xml:space="preserve"> berekend en vertaald naar een CO2 uitstoot. Als de leverancier op de projectlocatie ook diensten heeft uitgevoerd zijn deze cijfers, voor zover aanwezig, ook meegenomen. Voor het berekenen van de CO2 uitstoot voor de productie van de gebruikte goederen en het afval is, voor zover aanwezig, gebruik gemaakt van</w:t>
      </w:r>
      <w:r w:rsidR="00BC7EFD" w:rsidRPr="00FB25E3">
        <w:t xml:space="preserve"> reeds opgestelde</w:t>
      </w:r>
      <w:r w:rsidRPr="00FB25E3">
        <w:t xml:space="preserve"> </w:t>
      </w:r>
      <w:r w:rsidR="00BC7EFD" w:rsidRPr="00FB25E3">
        <w:t>ketenanalyses</w:t>
      </w:r>
      <w:r w:rsidRPr="00FB25E3">
        <w:t>. Deze</w:t>
      </w:r>
      <w:r w:rsidR="00BC7EFD" w:rsidRPr="00FB25E3">
        <w:t xml:space="preserve"> ketenanalyses zijn te vinden </w:t>
      </w:r>
      <w:r w:rsidRPr="00FB25E3">
        <w:t xml:space="preserve">op de website van het </w:t>
      </w:r>
      <w:r w:rsidR="00BC7EFD" w:rsidRPr="00FB25E3">
        <w:t>SKAO</w:t>
      </w:r>
      <w:r w:rsidRPr="00FB25E3">
        <w:t xml:space="preserve">. </w:t>
      </w:r>
    </w:p>
    <w:p w14:paraId="0013F962" w14:textId="77777777" w:rsidR="00856CBF" w:rsidRPr="002430BF" w:rsidRDefault="00856CBF" w:rsidP="00856CBF">
      <w:pPr>
        <w:rPr>
          <w:highlight w:val="yellow"/>
        </w:rPr>
      </w:pPr>
    </w:p>
    <w:p w14:paraId="1952E5F1" w14:textId="77777777" w:rsidR="00856CBF" w:rsidRPr="00CE6DA7" w:rsidRDefault="00856CBF" w:rsidP="00856CBF">
      <w:r w:rsidRPr="00CE6DA7">
        <w:t>De projecten die gebruikt zijn voor de deze analyse zijn:</w:t>
      </w:r>
    </w:p>
    <w:p w14:paraId="093D3972" w14:textId="2B5814DD" w:rsidR="00BC7EFD" w:rsidRPr="00CE6DA7" w:rsidRDefault="00CE6DA7" w:rsidP="00BC7EFD">
      <w:pPr>
        <w:pStyle w:val="Lijstalinea"/>
        <w:numPr>
          <w:ilvl w:val="0"/>
          <w:numId w:val="18"/>
        </w:numPr>
      </w:pPr>
      <w:r w:rsidRPr="00CE6DA7">
        <w:t>Beschoeiingen 2019</w:t>
      </w:r>
    </w:p>
    <w:p w14:paraId="0CD18217" w14:textId="033EA363" w:rsidR="00BC7EFD" w:rsidRPr="00CE6DA7" w:rsidRDefault="00CE6DA7" w:rsidP="00BC7EFD">
      <w:pPr>
        <w:pStyle w:val="Lijstalinea"/>
        <w:numPr>
          <w:ilvl w:val="0"/>
          <w:numId w:val="18"/>
        </w:numPr>
      </w:pPr>
      <w:r w:rsidRPr="00CE6DA7">
        <w:t xml:space="preserve">Aanleg RWA Altenastreek te Dokkum </w:t>
      </w:r>
    </w:p>
    <w:p w14:paraId="25D972DD" w14:textId="77777777" w:rsidR="00BC7EFD" w:rsidRPr="00CE6DA7" w:rsidRDefault="00BC7EFD" w:rsidP="00856CBF"/>
    <w:p w14:paraId="5A4290E5" w14:textId="6E259BC1" w:rsidR="00856CBF" w:rsidRPr="00FB25E3" w:rsidRDefault="00856CBF" w:rsidP="00856CBF">
      <w:r w:rsidRPr="00FB25E3">
        <w:t xml:space="preserve">De methode waarvoor is gekozen is nauwkeurig, dit omdat gekozen is voor twee projecten die representatief zijn voor de werkzaamheden van </w:t>
      </w:r>
      <w:r w:rsidR="00CE6DA7" w:rsidRPr="00FB25E3">
        <w:t>Daniël Pijnacker BV</w:t>
      </w:r>
      <w:r w:rsidR="00A54D67" w:rsidRPr="00FB25E3">
        <w:t xml:space="preserve">, zie bedrijfsactiviteiten </w:t>
      </w:r>
      <w:r w:rsidR="00CE6DA7" w:rsidRPr="00FB25E3">
        <w:t>Daniël Pijnacker BV</w:t>
      </w:r>
      <w:r w:rsidR="00A54D67" w:rsidRPr="00FB25E3">
        <w:t xml:space="preserve"> (PMC)</w:t>
      </w:r>
      <w:r w:rsidRPr="00FB25E3">
        <w:t xml:space="preserve">. Deze twee projecten zijn volledig uitgewerkt en inzichtelijk via </w:t>
      </w:r>
      <w:r w:rsidR="00A54D67" w:rsidRPr="00FB25E3">
        <w:t>diverse informatiebronnen</w:t>
      </w:r>
      <w:r w:rsidRPr="00FB25E3">
        <w:t>.</w:t>
      </w:r>
    </w:p>
    <w:p w14:paraId="46BD87C5" w14:textId="6F518302" w:rsidR="00856CBF" w:rsidRPr="002430BF" w:rsidRDefault="00856CBF" w:rsidP="008E63D1">
      <w:pPr>
        <w:tabs>
          <w:tab w:val="left" w:pos="1650"/>
        </w:tabs>
        <w:rPr>
          <w:highlight w:val="yellow"/>
          <w:u w:val="single"/>
        </w:rPr>
      </w:pPr>
    </w:p>
    <w:p w14:paraId="700E5D97" w14:textId="77777777" w:rsidR="00856CBF" w:rsidRPr="00FB25E3" w:rsidRDefault="00856CBF" w:rsidP="00856CBF">
      <w:r w:rsidRPr="00FB25E3">
        <w:t>De methode van berekenen van de CO2 uitstoot is minder nauwkeurig op de volgende punten:</w:t>
      </w:r>
    </w:p>
    <w:p w14:paraId="72295F91" w14:textId="6ABFC0CD" w:rsidR="00856CBF" w:rsidRPr="00FB25E3" w:rsidRDefault="00856CBF" w:rsidP="00A54D67">
      <w:pPr>
        <w:pStyle w:val="Lijstalinea"/>
        <w:numPr>
          <w:ilvl w:val="0"/>
          <w:numId w:val="21"/>
        </w:numPr>
      </w:pPr>
      <w:r w:rsidRPr="00FB25E3">
        <w:t xml:space="preserve">Bij alle materiaalafleveringen wordt er vanuit gegaan dat het om een </w:t>
      </w:r>
      <w:r w:rsidR="00FB25E3" w:rsidRPr="00FB25E3">
        <w:t>retourreis</w:t>
      </w:r>
      <w:r w:rsidRPr="00FB25E3">
        <w:t xml:space="preserve"> gaat, aangezien</w:t>
      </w:r>
      <w:r w:rsidR="00FB25E3" w:rsidRPr="00FB25E3">
        <w:t xml:space="preserve"> het niet bekend is of </w:t>
      </w:r>
      <w:r w:rsidRPr="00FB25E3">
        <w:t>de transporteur meerdere afleveradressen heeft.</w:t>
      </w:r>
    </w:p>
    <w:p w14:paraId="2957DCE8" w14:textId="26927C09" w:rsidR="00856CBF" w:rsidRPr="00FB25E3" w:rsidRDefault="00856CBF" w:rsidP="00A54D67">
      <w:pPr>
        <w:pStyle w:val="Lijstalinea"/>
        <w:numPr>
          <w:ilvl w:val="0"/>
          <w:numId w:val="21"/>
        </w:numPr>
      </w:pPr>
      <w:r w:rsidRPr="00FB25E3">
        <w:t>Er wordt vanuit gegaan dat de leveranciers niet werken met tussenpersonen die eventuele leveringen uitvoeren.</w:t>
      </w:r>
    </w:p>
    <w:p w14:paraId="4EC8B990" w14:textId="77777777" w:rsidR="00856CBF" w:rsidRPr="002430BF" w:rsidRDefault="00856CBF" w:rsidP="00856CBF">
      <w:pPr>
        <w:rPr>
          <w:highlight w:val="yellow"/>
        </w:rPr>
      </w:pPr>
    </w:p>
    <w:p w14:paraId="0148D75A" w14:textId="7180EAC4" w:rsidR="00856CBF" w:rsidRPr="00FB25E3" w:rsidRDefault="00856CBF" w:rsidP="00856CBF">
      <w:r w:rsidRPr="00FB25E3">
        <w:t xml:space="preserve">Op basis van het gegeven dat de beide projecten </w:t>
      </w:r>
      <w:r w:rsidR="00BC7EFD" w:rsidRPr="00FB25E3">
        <w:t xml:space="preserve">gezamenlijk </w:t>
      </w:r>
      <w:r w:rsidRPr="00FB25E3">
        <w:t xml:space="preserve">een </w:t>
      </w:r>
      <w:r w:rsidR="00FB25E3" w:rsidRPr="00FB25E3">
        <w:t>omzet</w:t>
      </w:r>
      <w:r w:rsidRPr="00FB25E3">
        <w:t xml:space="preserve"> vertegenwoordigen van </w:t>
      </w:r>
      <w:r w:rsidR="00FB25E3" w:rsidRPr="00FB25E3">
        <w:t>61</w:t>
      </w:r>
      <w:r w:rsidRPr="00FB25E3">
        <w:t xml:space="preserve">% van de </w:t>
      </w:r>
      <w:r w:rsidR="00BC7EFD" w:rsidRPr="00FB25E3">
        <w:t xml:space="preserve">totale </w:t>
      </w:r>
      <w:r w:rsidR="00FB25E3" w:rsidRPr="00FB25E3">
        <w:t>omzet 2019</w:t>
      </w:r>
      <w:r w:rsidRPr="00FB25E3">
        <w:t xml:space="preserve"> wordt dezelfde verhouding gehanteerd bij het berekenen van de totale jaarlijkse uitstoot van </w:t>
      </w:r>
      <w:r w:rsidR="00CE6DA7" w:rsidRPr="00FB25E3">
        <w:t>Daniël Pijnacker BV</w:t>
      </w:r>
      <w:r w:rsidRPr="00FB25E3">
        <w:t>.</w:t>
      </w:r>
    </w:p>
    <w:p w14:paraId="7FF41222" w14:textId="77777777" w:rsidR="00A54D67" w:rsidRPr="00FB25E3" w:rsidRDefault="00A54D67" w:rsidP="00856CBF">
      <w:pPr>
        <w:rPr>
          <w:u w:val="single"/>
        </w:rPr>
      </w:pPr>
    </w:p>
    <w:p w14:paraId="16239A58" w14:textId="3597E07F" w:rsidR="00856CBF" w:rsidRPr="00FB25E3" w:rsidRDefault="00856CBF" w:rsidP="00856CBF">
      <w:pPr>
        <w:rPr>
          <w:u w:val="single"/>
        </w:rPr>
      </w:pPr>
      <w:r w:rsidRPr="00FB25E3">
        <w:rPr>
          <w:u w:val="single"/>
        </w:rPr>
        <w:t>Meetperiode van dit rapport</w:t>
      </w:r>
    </w:p>
    <w:p w14:paraId="1EAFA390" w14:textId="5D67ABB2" w:rsidR="00856CBF" w:rsidRPr="00FB25E3" w:rsidRDefault="00856CBF" w:rsidP="00856CBF">
      <w:r w:rsidRPr="00FB25E3">
        <w:t>Er is gebruik gemaakt van gegevens vanuit de termijnstaten en leverantieoverzichten van 2 projecten. Deze projecten zijn beide in 201</w:t>
      </w:r>
      <w:r w:rsidR="00FB25E3" w:rsidRPr="00FB25E3">
        <w:t>9/2020</w:t>
      </w:r>
      <w:r w:rsidRPr="00FB25E3">
        <w:t xml:space="preserve"> volledig uitgevoerd.</w:t>
      </w:r>
    </w:p>
    <w:p w14:paraId="70AB576B" w14:textId="71F0885D" w:rsidR="00856CBF" w:rsidRPr="002430BF" w:rsidRDefault="00856CBF" w:rsidP="00856CBF">
      <w:pPr>
        <w:rPr>
          <w:highlight w:val="yellow"/>
        </w:rPr>
      </w:pPr>
    </w:p>
    <w:p w14:paraId="33AC4675" w14:textId="569D6BDC" w:rsidR="008E63D1" w:rsidRPr="00FB25E3" w:rsidRDefault="008E63D1" w:rsidP="00856CBF">
      <w:pPr>
        <w:rPr>
          <w:u w:val="single"/>
        </w:rPr>
      </w:pPr>
      <w:r w:rsidRPr="00FB25E3">
        <w:rPr>
          <w:u w:val="single"/>
        </w:rPr>
        <w:t xml:space="preserve">Bedrijfsactiviteiten </w:t>
      </w:r>
      <w:r w:rsidR="00CE6DA7" w:rsidRPr="00FB25E3">
        <w:rPr>
          <w:u w:val="single"/>
        </w:rPr>
        <w:t>Daniël Pijnacker BV</w:t>
      </w:r>
      <w:r w:rsidRPr="00FB25E3">
        <w:rPr>
          <w:u w:val="single"/>
        </w:rPr>
        <w:t xml:space="preserve"> (PMC)</w:t>
      </w:r>
    </w:p>
    <w:p w14:paraId="4EC7AB69" w14:textId="77777777" w:rsidR="00FB25E3" w:rsidRDefault="00FB25E3">
      <w:pPr>
        <w:spacing w:after="200"/>
        <w:rPr>
          <w:bCs/>
        </w:rPr>
      </w:pPr>
      <w:r>
        <w:rPr>
          <w:bCs/>
        </w:rPr>
        <w:t>Het in aanneming uitvoeren van werkzaamheden in de grond-, weg-, en waterbouw.</w:t>
      </w:r>
    </w:p>
    <w:p w14:paraId="0ABA049A" w14:textId="77777777" w:rsidR="00FB25E3" w:rsidRDefault="00FB25E3">
      <w:pPr>
        <w:spacing w:after="200"/>
        <w:rPr>
          <w:bCs/>
        </w:rPr>
      </w:pPr>
    </w:p>
    <w:p w14:paraId="41534C95" w14:textId="5D07AE63" w:rsidR="00C80E8C" w:rsidRPr="002430BF" w:rsidRDefault="00C80E8C">
      <w:pPr>
        <w:spacing w:after="200"/>
        <w:rPr>
          <w:highlight w:val="yellow"/>
        </w:rPr>
      </w:pPr>
      <w:r w:rsidRPr="002430BF">
        <w:rPr>
          <w:highlight w:val="yellow"/>
        </w:rPr>
        <w:br w:type="page"/>
      </w:r>
    </w:p>
    <w:p w14:paraId="72879270" w14:textId="5CF3CC34" w:rsidR="00C80E8C" w:rsidRPr="003461D7" w:rsidRDefault="00C80E8C" w:rsidP="00C80E8C">
      <w:pPr>
        <w:pStyle w:val="Kop1"/>
      </w:pPr>
      <w:bookmarkStart w:id="2" w:name="_Toc49245508"/>
      <w:r w:rsidRPr="003461D7">
        <w:lastRenderedPageBreak/>
        <w:t>Uitstoot CO2 per categori</w:t>
      </w:r>
      <w:r w:rsidR="00B874CE" w:rsidRPr="003461D7">
        <w:t>E</w:t>
      </w:r>
      <w:bookmarkEnd w:id="2"/>
    </w:p>
    <w:p w14:paraId="0FEDCD19" w14:textId="690858D8" w:rsidR="008E63D1" w:rsidRPr="003461D7" w:rsidRDefault="008E63D1" w:rsidP="008E63D1">
      <w:r w:rsidRPr="003461D7">
        <w:t xml:space="preserve">Beide projecten bedragen </w:t>
      </w:r>
      <w:r w:rsidR="003461D7" w:rsidRPr="003461D7">
        <w:t>61</w:t>
      </w:r>
      <w:r w:rsidRPr="003461D7">
        <w:t xml:space="preserve">% van de totale </w:t>
      </w:r>
      <w:r w:rsidR="00FB25E3">
        <w:t>omzet</w:t>
      </w:r>
      <w:r w:rsidRPr="003461D7">
        <w:t>. In onderstaande tabel zijn de uitstootcijfers aangepast naar 100% van de totale inkoopomzet.</w:t>
      </w:r>
      <w:r w:rsidR="001C770A" w:rsidRPr="003461D7">
        <w:t xml:space="preserve"> Dit betekent dat de uitstootcijfers worden </w:t>
      </w:r>
      <w:r w:rsidR="003776B8" w:rsidRPr="003461D7">
        <w:t>vermenigvuldigd</w:t>
      </w:r>
      <w:r w:rsidR="001C770A" w:rsidRPr="003461D7">
        <w:t xml:space="preserve"> met een factor </w:t>
      </w:r>
      <w:r w:rsidR="003461D7" w:rsidRPr="003461D7">
        <w:t>1</w:t>
      </w:r>
      <w:r w:rsidR="001C770A" w:rsidRPr="003461D7">
        <w:t>,</w:t>
      </w:r>
      <w:r w:rsidR="003461D7" w:rsidRPr="003461D7">
        <w:t>64</w:t>
      </w:r>
      <w:r w:rsidR="001C770A" w:rsidRPr="003461D7">
        <w:t>.</w:t>
      </w:r>
    </w:p>
    <w:p w14:paraId="64B22EA8" w14:textId="77777777" w:rsidR="008E63D1" w:rsidRPr="003461D7" w:rsidRDefault="008E63D1" w:rsidP="008E63D1"/>
    <w:p w14:paraId="143E5F04" w14:textId="0B3B06FB" w:rsidR="00C80E8C" w:rsidRPr="003461D7" w:rsidRDefault="00C80E8C" w:rsidP="00C80E8C">
      <w:pPr>
        <w:pStyle w:val="Kop2"/>
      </w:pPr>
      <w:bookmarkStart w:id="3" w:name="_Toc49245509"/>
      <w:r w:rsidRPr="003461D7">
        <w:t>Upstream CO2</w:t>
      </w:r>
      <w:bookmarkEnd w:id="3"/>
    </w:p>
    <w:tbl>
      <w:tblPr>
        <w:tblStyle w:val="Tabelraster"/>
        <w:tblW w:w="0" w:type="auto"/>
        <w:tblLook w:val="04A0" w:firstRow="1" w:lastRow="0" w:firstColumn="1" w:lastColumn="0" w:noHBand="0" w:noVBand="1"/>
      </w:tblPr>
      <w:tblGrid>
        <w:gridCol w:w="421"/>
        <w:gridCol w:w="3118"/>
        <w:gridCol w:w="1134"/>
        <w:gridCol w:w="4389"/>
      </w:tblGrid>
      <w:tr w:rsidR="00FB25E3" w:rsidRPr="0077345D" w14:paraId="6F901393" w14:textId="77777777" w:rsidTr="00AA5B6A">
        <w:trPr>
          <w:tblHeader/>
        </w:trPr>
        <w:tc>
          <w:tcPr>
            <w:tcW w:w="421" w:type="dxa"/>
            <w:shd w:val="clear" w:color="auto" w:fill="BFBFBF" w:themeFill="background1" w:themeFillShade="BF"/>
          </w:tcPr>
          <w:p w14:paraId="4C769553" w14:textId="77777777" w:rsidR="00FB25E3" w:rsidRPr="0077345D" w:rsidRDefault="00FB25E3" w:rsidP="00FB25E3">
            <w:pPr>
              <w:spacing w:line="276" w:lineRule="auto"/>
              <w:jc w:val="center"/>
              <w:rPr>
                <w:b/>
                <w:sz w:val="18"/>
                <w:szCs w:val="18"/>
              </w:rPr>
            </w:pPr>
            <w:proofErr w:type="spellStart"/>
            <w:r w:rsidRPr="0077345D">
              <w:rPr>
                <w:b/>
                <w:sz w:val="18"/>
                <w:szCs w:val="18"/>
              </w:rPr>
              <w:t>Nr</w:t>
            </w:r>
            <w:proofErr w:type="spellEnd"/>
          </w:p>
        </w:tc>
        <w:tc>
          <w:tcPr>
            <w:tcW w:w="3118" w:type="dxa"/>
            <w:shd w:val="clear" w:color="auto" w:fill="BFBFBF" w:themeFill="background1" w:themeFillShade="BF"/>
          </w:tcPr>
          <w:p w14:paraId="7C4B667E" w14:textId="77777777" w:rsidR="00FB25E3" w:rsidRPr="0077345D" w:rsidRDefault="00FB25E3" w:rsidP="00FB25E3">
            <w:pPr>
              <w:spacing w:line="276" w:lineRule="auto"/>
              <w:rPr>
                <w:b/>
                <w:sz w:val="18"/>
                <w:szCs w:val="18"/>
              </w:rPr>
            </w:pPr>
            <w:r w:rsidRPr="0077345D">
              <w:rPr>
                <w:b/>
                <w:sz w:val="18"/>
                <w:szCs w:val="18"/>
              </w:rPr>
              <w:t>Categorie</w:t>
            </w:r>
          </w:p>
          <w:p w14:paraId="73A7EBB4" w14:textId="77777777" w:rsidR="00FB25E3" w:rsidRPr="0077345D" w:rsidRDefault="00FB25E3" w:rsidP="00FB25E3">
            <w:pPr>
              <w:spacing w:line="276" w:lineRule="auto"/>
              <w:rPr>
                <w:b/>
                <w:sz w:val="18"/>
                <w:szCs w:val="18"/>
              </w:rPr>
            </w:pPr>
          </w:p>
        </w:tc>
        <w:tc>
          <w:tcPr>
            <w:tcW w:w="1134" w:type="dxa"/>
            <w:shd w:val="clear" w:color="auto" w:fill="BFBFBF" w:themeFill="background1" w:themeFillShade="BF"/>
          </w:tcPr>
          <w:p w14:paraId="0C0A4304" w14:textId="77777777" w:rsidR="00FB25E3" w:rsidRPr="0077345D" w:rsidRDefault="00FB25E3" w:rsidP="00FB25E3">
            <w:pPr>
              <w:spacing w:line="276" w:lineRule="auto"/>
              <w:jc w:val="center"/>
              <w:rPr>
                <w:b/>
                <w:sz w:val="18"/>
                <w:szCs w:val="18"/>
              </w:rPr>
            </w:pPr>
            <w:r w:rsidRPr="0077345D">
              <w:rPr>
                <w:b/>
                <w:sz w:val="18"/>
                <w:szCs w:val="18"/>
              </w:rPr>
              <w:t>Uitstoot CO2 (ton)</w:t>
            </w:r>
          </w:p>
        </w:tc>
        <w:tc>
          <w:tcPr>
            <w:tcW w:w="4389" w:type="dxa"/>
            <w:shd w:val="clear" w:color="auto" w:fill="BFBFBF" w:themeFill="background1" w:themeFillShade="BF"/>
          </w:tcPr>
          <w:p w14:paraId="00B9B637" w14:textId="77777777" w:rsidR="00FB25E3" w:rsidRPr="0077345D" w:rsidRDefault="00FB25E3" w:rsidP="00FB25E3">
            <w:pPr>
              <w:spacing w:line="276" w:lineRule="auto"/>
              <w:rPr>
                <w:b/>
                <w:sz w:val="18"/>
                <w:szCs w:val="18"/>
              </w:rPr>
            </w:pPr>
            <w:r>
              <w:rPr>
                <w:b/>
                <w:sz w:val="18"/>
                <w:szCs w:val="18"/>
              </w:rPr>
              <w:t>Energiestromen scope 3</w:t>
            </w:r>
          </w:p>
        </w:tc>
      </w:tr>
      <w:tr w:rsidR="00FB25E3" w:rsidRPr="00D507E6" w14:paraId="6408B3FD" w14:textId="77777777" w:rsidTr="00A72AA9">
        <w:tc>
          <w:tcPr>
            <w:tcW w:w="421" w:type="dxa"/>
            <w:shd w:val="clear" w:color="auto" w:fill="auto"/>
          </w:tcPr>
          <w:p w14:paraId="054BE611" w14:textId="77777777" w:rsidR="00FB25E3" w:rsidRPr="00D507E6" w:rsidRDefault="00FB25E3" w:rsidP="00FB25E3">
            <w:pPr>
              <w:spacing w:line="276" w:lineRule="auto"/>
              <w:jc w:val="center"/>
              <w:rPr>
                <w:sz w:val="18"/>
                <w:szCs w:val="18"/>
              </w:rPr>
            </w:pPr>
            <w:r w:rsidRPr="00D507E6">
              <w:rPr>
                <w:sz w:val="18"/>
                <w:szCs w:val="18"/>
              </w:rPr>
              <w:t>1</w:t>
            </w:r>
          </w:p>
        </w:tc>
        <w:tc>
          <w:tcPr>
            <w:tcW w:w="3118" w:type="dxa"/>
            <w:shd w:val="clear" w:color="auto" w:fill="auto"/>
          </w:tcPr>
          <w:p w14:paraId="4BC5DC56" w14:textId="77777777" w:rsidR="00FB25E3" w:rsidRPr="00D507E6" w:rsidRDefault="00FB25E3" w:rsidP="00FB25E3">
            <w:pPr>
              <w:spacing w:line="276" w:lineRule="auto"/>
              <w:rPr>
                <w:sz w:val="18"/>
                <w:szCs w:val="18"/>
              </w:rPr>
            </w:pPr>
            <w:r w:rsidRPr="00D507E6">
              <w:rPr>
                <w:sz w:val="18"/>
                <w:szCs w:val="18"/>
              </w:rPr>
              <w:t>Aangekochte goederen en diensten</w:t>
            </w:r>
          </w:p>
        </w:tc>
        <w:tc>
          <w:tcPr>
            <w:tcW w:w="1134" w:type="dxa"/>
            <w:shd w:val="clear" w:color="auto" w:fill="auto"/>
          </w:tcPr>
          <w:p w14:paraId="00A2B7FF" w14:textId="7FDFB3E8" w:rsidR="00FB25E3" w:rsidRPr="00D507E6" w:rsidRDefault="00A72AA9" w:rsidP="00FB25E3">
            <w:pPr>
              <w:spacing w:line="276" w:lineRule="auto"/>
              <w:jc w:val="center"/>
              <w:rPr>
                <w:sz w:val="18"/>
                <w:szCs w:val="18"/>
              </w:rPr>
            </w:pPr>
            <w:r>
              <w:rPr>
                <w:sz w:val="18"/>
                <w:szCs w:val="18"/>
              </w:rPr>
              <w:t>(Zie ketenanalyse)</w:t>
            </w:r>
          </w:p>
        </w:tc>
        <w:tc>
          <w:tcPr>
            <w:tcW w:w="4389" w:type="dxa"/>
            <w:shd w:val="clear" w:color="auto" w:fill="auto"/>
          </w:tcPr>
          <w:p w14:paraId="7D796290" w14:textId="77777777" w:rsidR="00FB25E3" w:rsidRPr="00E4380F" w:rsidRDefault="00FB25E3" w:rsidP="00FB25E3">
            <w:pPr>
              <w:spacing w:line="276" w:lineRule="auto"/>
              <w:rPr>
                <w:sz w:val="18"/>
                <w:szCs w:val="18"/>
              </w:rPr>
            </w:pPr>
            <w:r w:rsidRPr="00E4380F">
              <w:rPr>
                <w:sz w:val="18"/>
                <w:szCs w:val="18"/>
              </w:rPr>
              <w:t xml:space="preserve">Voor het bepalen van de uitstoot van upstream </w:t>
            </w:r>
            <w:r>
              <w:rPr>
                <w:sz w:val="18"/>
                <w:szCs w:val="18"/>
              </w:rPr>
              <w:t>a</w:t>
            </w:r>
            <w:r w:rsidRPr="00D507E6">
              <w:rPr>
                <w:sz w:val="18"/>
                <w:szCs w:val="18"/>
              </w:rPr>
              <w:t>angekochte goederen en diensten</w:t>
            </w:r>
            <w:r w:rsidRPr="00E4380F">
              <w:rPr>
                <w:sz w:val="18"/>
                <w:szCs w:val="18"/>
              </w:rPr>
              <w:t xml:space="preserve"> zijn de volgende energiestromen van toepassing:</w:t>
            </w:r>
          </w:p>
          <w:p w14:paraId="34C71F9B" w14:textId="77777777" w:rsidR="00FB25E3" w:rsidRDefault="00FB25E3" w:rsidP="00FB25E3">
            <w:pPr>
              <w:spacing w:line="276" w:lineRule="auto"/>
              <w:rPr>
                <w:sz w:val="18"/>
                <w:szCs w:val="18"/>
              </w:rPr>
            </w:pPr>
          </w:p>
          <w:p w14:paraId="561454E6" w14:textId="77777777" w:rsidR="00FB25E3" w:rsidRPr="00D507E6" w:rsidRDefault="00FB25E3" w:rsidP="00FB25E3">
            <w:pPr>
              <w:spacing w:line="276" w:lineRule="auto"/>
              <w:rPr>
                <w:sz w:val="18"/>
                <w:szCs w:val="18"/>
              </w:rPr>
            </w:pPr>
            <w:r w:rsidRPr="00D507E6">
              <w:rPr>
                <w:sz w:val="18"/>
                <w:szCs w:val="18"/>
              </w:rPr>
              <w:t>P1:</w:t>
            </w:r>
          </w:p>
          <w:p w14:paraId="6509E25B"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Aankoop van bouwmaterialen (hout, ankerstangen, grond)</w:t>
            </w:r>
          </w:p>
          <w:p w14:paraId="473D9EFD" w14:textId="77777777" w:rsidR="00FB25E3" w:rsidRPr="00D507E6" w:rsidRDefault="00FB25E3" w:rsidP="00FB25E3">
            <w:pPr>
              <w:spacing w:line="276" w:lineRule="auto"/>
              <w:rPr>
                <w:sz w:val="18"/>
                <w:szCs w:val="18"/>
              </w:rPr>
            </w:pPr>
          </w:p>
          <w:p w14:paraId="22093943" w14:textId="77777777" w:rsidR="00FB25E3" w:rsidRPr="00D507E6" w:rsidRDefault="00FB25E3" w:rsidP="00FB25E3">
            <w:pPr>
              <w:spacing w:line="276" w:lineRule="auto"/>
              <w:rPr>
                <w:sz w:val="18"/>
                <w:szCs w:val="18"/>
              </w:rPr>
            </w:pPr>
            <w:r w:rsidRPr="00D507E6">
              <w:rPr>
                <w:sz w:val="18"/>
                <w:szCs w:val="18"/>
              </w:rPr>
              <w:t xml:space="preserve">P2: </w:t>
            </w:r>
          </w:p>
          <w:p w14:paraId="56E681A6" w14:textId="414646DB" w:rsidR="00FB25E3" w:rsidRPr="00A72AA9" w:rsidRDefault="00FB25E3" w:rsidP="00A72AA9">
            <w:pPr>
              <w:pStyle w:val="Lijstalinea"/>
              <w:numPr>
                <w:ilvl w:val="0"/>
                <w:numId w:val="26"/>
              </w:numPr>
              <w:spacing w:line="276" w:lineRule="auto"/>
              <w:rPr>
                <w:sz w:val="18"/>
                <w:szCs w:val="18"/>
              </w:rPr>
            </w:pPr>
            <w:r w:rsidRPr="00D507E6">
              <w:rPr>
                <w:sz w:val="18"/>
                <w:szCs w:val="18"/>
              </w:rPr>
              <w:t xml:space="preserve">Aankoop van bouwmaterialen (PVC, grond, klinkers, betonputten/-buizen, </w:t>
            </w:r>
            <w:proofErr w:type="spellStart"/>
            <w:r w:rsidRPr="00D507E6">
              <w:rPr>
                <w:sz w:val="18"/>
                <w:szCs w:val="18"/>
              </w:rPr>
              <w:t>putkolk</w:t>
            </w:r>
            <w:proofErr w:type="spellEnd"/>
          </w:p>
        </w:tc>
      </w:tr>
      <w:tr w:rsidR="00FB25E3" w:rsidRPr="00E4380F" w14:paraId="4A3FAD3D" w14:textId="77777777" w:rsidTr="00AA5B6A">
        <w:tc>
          <w:tcPr>
            <w:tcW w:w="421" w:type="dxa"/>
          </w:tcPr>
          <w:p w14:paraId="3CEDE653" w14:textId="77777777" w:rsidR="00FB25E3" w:rsidRPr="00E4380F" w:rsidRDefault="00FB25E3" w:rsidP="00FB25E3">
            <w:pPr>
              <w:spacing w:line="276" w:lineRule="auto"/>
              <w:jc w:val="center"/>
              <w:rPr>
                <w:sz w:val="18"/>
                <w:szCs w:val="18"/>
              </w:rPr>
            </w:pPr>
            <w:r w:rsidRPr="00E4380F">
              <w:rPr>
                <w:sz w:val="18"/>
                <w:szCs w:val="18"/>
              </w:rPr>
              <w:t>2</w:t>
            </w:r>
          </w:p>
        </w:tc>
        <w:tc>
          <w:tcPr>
            <w:tcW w:w="3118" w:type="dxa"/>
          </w:tcPr>
          <w:p w14:paraId="0DA9C9D5" w14:textId="77777777" w:rsidR="00FB25E3" w:rsidRPr="00E4380F" w:rsidRDefault="00FB25E3" w:rsidP="00FB25E3">
            <w:pPr>
              <w:spacing w:line="276" w:lineRule="auto"/>
              <w:rPr>
                <w:sz w:val="18"/>
                <w:szCs w:val="18"/>
              </w:rPr>
            </w:pPr>
            <w:r w:rsidRPr="00E4380F">
              <w:rPr>
                <w:sz w:val="18"/>
                <w:szCs w:val="18"/>
              </w:rPr>
              <w:t>Kapitaal goederen</w:t>
            </w:r>
          </w:p>
        </w:tc>
        <w:tc>
          <w:tcPr>
            <w:tcW w:w="1134" w:type="dxa"/>
          </w:tcPr>
          <w:p w14:paraId="45B0B563" w14:textId="77777777" w:rsidR="00FB25E3" w:rsidRPr="00E4380F" w:rsidRDefault="00FB25E3" w:rsidP="00FB25E3">
            <w:pPr>
              <w:spacing w:line="276" w:lineRule="auto"/>
              <w:jc w:val="center"/>
              <w:rPr>
                <w:sz w:val="18"/>
                <w:szCs w:val="18"/>
              </w:rPr>
            </w:pPr>
            <w:r w:rsidRPr="00E4380F">
              <w:rPr>
                <w:sz w:val="18"/>
                <w:szCs w:val="18"/>
              </w:rPr>
              <w:t>-</w:t>
            </w:r>
          </w:p>
        </w:tc>
        <w:tc>
          <w:tcPr>
            <w:tcW w:w="4389" w:type="dxa"/>
          </w:tcPr>
          <w:p w14:paraId="272B7BF8" w14:textId="77777777" w:rsidR="00FB25E3" w:rsidRPr="00E4380F" w:rsidRDefault="00FB25E3" w:rsidP="00FB25E3">
            <w:pPr>
              <w:spacing w:line="276" w:lineRule="auto"/>
              <w:rPr>
                <w:sz w:val="18"/>
                <w:szCs w:val="18"/>
              </w:rPr>
            </w:pPr>
            <w:r w:rsidRPr="00E4380F">
              <w:rPr>
                <w:sz w:val="18"/>
                <w:szCs w:val="18"/>
              </w:rPr>
              <w:t>Er is geen uitstoot in deze categorie.</w:t>
            </w:r>
          </w:p>
        </w:tc>
      </w:tr>
      <w:tr w:rsidR="00FB25E3" w:rsidRPr="00912F2C" w14:paraId="30D24361" w14:textId="77777777" w:rsidTr="00AA5B6A">
        <w:tc>
          <w:tcPr>
            <w:tcW w:w="421" w:type="dxa"/>
          </w:tcPr>
          <w:p w14:paraId="07E5D654" w14:textId="77777777" w:rsidR="00FB25E3" w:rsidRPr="0077345D" w:rsidRDefault="00FB25E3" w:rsidP="00FB25E3">
            <w:pPr>
              <w:spacing w:line="276" w:lineRule="auto"/>
              <w:jc w:val="center"/>
              <w:rPr>
                <w:sz w:val="18"/>
                <w:szCs w:val="18"/>
              </w:rPr>
            </w:pPr>
            <w:r w:rsidRPr="0077345D">
              <w:rPr>
                <w:sz w:val="18"/>
                <w:szCs w:val="18"/>
              </w:rPr>
              <w:t>3</w:t>
            </w:r>
          </w:p>
        </w:tc>
        <w:tc>
          <w:tcPr>
            <w:tcW w:w="3118" w:type="dxa"/>
          </w:tcPr>
          <w:p w14:paraId="175C0DD7" w14:textId="77777777" w:rsidR="00FB25E3" w:rsidRPr="0077345D" w:rsidRDefault="00FB25E3" w:rsidP="00FB25E3">
            <w:pPr>
              <w:spacing w:line="276" w:lineRule="auto"/>
              <w:rPr>
                <w:sz w:val="18"/>
                <w:szCs w:val="18"/>
              </w:rPr>
            </w:pPr>
            <w:r w:rsidRPr="0077345D">
              <w:rPr>
                <w:sz w:val="18"/>
                <w:szCs w:val="18"/>
              </w:rPr>
              <w:t>Brandstof en energie gerelateerde activiteiten (niet opgenomen in scope 1 of scope 2)</w:t>
            </w:r>
          </w:p>
        </w:tc>
        <w:tc>
          <w:tcPr>
            <w:tcW w:w="1134" w:type="dxa"/>
          </w:tcPr>
          <w:p w14:paraId="418BA2DC" w14:textId="77777777" w:rsidR="00FB25E3" w:rsidRPr="00912F2C" w:rsidRDefault="00FB25E3" w:rsidP="00FB25E3">
            <w:pPr>
              <w:spacing w:line="276" w:lineRule="auto"/>
              <w:jc w:val="center"/>
              <w:rPr>
                <w:sz w:val="18"/>
                <w:szCs w:val="18"/>
              </w:rPr>
            </w:pPr>
            <w:r w:rsidRPr="00912F2C">
              <w:rPr>
                <w:sz w:val="18"/>
                <w:szCs w:val="18"/>
              </w:rPr>
              <w:t>-</w:t>
            </w:r>
          </w:p>
        </w:tc>
        <w:tc>
          <w:tcPr>
            <w:tcW w:w="4389" w:type="dxa"/>
          </w:tcPr>
          <w:p w14:paraId="24F39CC7" w14:textId="77777777" w:rsidR="00FB25E3" w:rsidRPr="00912F2C" w:rsidRDefault="00FB25E3" w:rsidP="00FB25E3">
            <w:pPr>
              <w:spacing w:line="276" w:lineRule="auto"/>
              <w:rPr>
                <w:sz w:val="18"/>
                <w:szCs w:val="18"/>
              </w:rPr>
            </w:pPr>
            <w:r w:rsidRPr="00912F2C">
              <w:rPr>
                <w:sz w:val="18"/>
                <w:szCs w:val="18"/>
              </w:rPr>
              <w:t>Er is geen sprake van brandstof of energie gerelateerde activiteiten, anders dan de activiteiten die reeds zijn meegenomen in scope 1 of 2</w:t>
            </w:r>
          </w:p>
        </w:tc>
      </w:tr>
      <w:tr w:rsidR="00FB25E3" w:rsidRPr="00D507E6" w14:paraId="062C556C" w14:textId="77777777" w:rsidTr="00A72AA9">
        <w:tc>
          <w:tcPr>
            <w:tcW w:w="421" w:type="dxa"/>
            <w:shd w:val="clear" w:color="auto" w:fill="auto"/>
          </w:tcPr>
          <w:p w14:paraId="0D6FA5DA" w14:textId="77777777" w:rsidR="00FB25E3" w:rsidRPr="00D507E6" w:rsidRDefault="00FB25E3" w:rsidP="00FB25E3">
            <w:pPr>
              <w:spacing w:line="276" w:lineRule="auto"/>
              <w:jc w:val="center"/>
              <w:rPr>
                <w:sz w:val="18"/>
                <w:szCs w:val="18"/>
              </w:rPr>
            </w:pPr>
            <w:r w:rsidRPr="00D507E6">
              <w:rPr>
                <w:sz w:val="18"/>
                <w:szCs w:val="18"/>
              </w:rPr>
              <w:t>4</w:t>
            </w:r>
          </w:p>
        </w:tc>
        <w:tc>
          <w:tcPr>
            <w:tcW w:w="3118" w:type="dxa"/>
            <w:shd w:val="clear" w:color="auto" w:fill="auto"/>
          </w:tcPr>
          <w:p w14:paraId="0F3A45DC" w14:textId="77777777" w:rsidR="00FB25E3" w:rsidRPr="00D507E6" w:rsidRDefault="00FB25E3" w:rsidP="00FB25E3">
            <w:pPr>
              <w:spacing w:line="276" w:lineRule="auto"/>
              <w:rPr>
                <w:sz w:val="18"/>
                <w:szCs w:val="18"/>
              </w:rPr>
            </w:pPr>
            <w:r w:rsidRPr="00D507E6">
              <w:rPr>
                <w:sz w:val="18"/>
                <w:szCs w:val="18"/>
              </w:rPr>
              <w:t>Upstream transport en distributie</w:t>
            </w:r>
          </w:p>
        </w:tc>
        <w:tc>
          <w:tcPr>
            <w:tcW w:w="1134" w:type="dxa"/>
            <w:shd w:val="clear" w:color="auto" w:fill="auto"/>
          </w:tcPr>
          <w:p w14:paraId="4996BC19" w14:textId="2F69592E" w:rsidR="00FB25E3" w:rsidRPr="00D507E6" w:rsidRDefault="00A72AA9" w:rsidP="00A72AA9">
            <w:pPr>
              <w:spacing w:line="276" w:lineRule="auto"/>
              <w:jc w:val="center"/>
              <w:rPr>
                <w:sz w:val="18"/>
                <w:szCs w:val="18"/>
              </w:rPr>
            </w:pPr>
            <w:r>
              <w:rPr>
                <w:sz w:val="18"/>
                <w:szCs w:val="18"/>
              </w:rPr>
              <w:t>(zie ketenanalyse)</w:t>
            </w:r>
          </w:p>
        </w:tc>
        <w:tc>
          <w:tcPr>
            <w:tcW w:w="4389" w:type="dxa"/>
            <w:shd w:val="clear" w:color="auto" w:fill="auto"/>
          </w:tcPr>
          <w:p w14:paraId="36BAE73F" w14:textId="77777777" w:rsidR="00FB25E3" w:rsidRPr="00D507E6" w:rsidRDefault="00FB25E3" w:rsidP="00FB25E3">
            <w:pPr>
              <w:spacing w:line="276" w:lineRule="auto"/>
              <w:rPr>
                <w:sz w:val="18"/>
                <w:szCs w:val="18"/>
              </w:rPr>
            </w:pPr>
            <w:r w:rsidRPr="00D507E6">
              <w:rPr>
                <w:sz w:val="18"/>
                <w:szCs w:val="18"/>
              </w:rPr>
              <w:t>Voor het bepalen van de uitstoot van upstream transport of distributie zijn de volgende energiestromen van toepassing:</w:t>
            </w:r>
          </w:p>
          <w:p w14:paraId="3B461F66" w14:textId="77777777" w:rsidR="00FB25E3" w:rsidRPr="00D507E6" w:rsidRDefault="00FB25E3" w:rsidP="00FB25E3">
            <w:pPr>
              <w:spacing w:line="276" w:lineRule="auto"/>
              <w:rPr>
                <w:sz w:val="18"/>
                <w:szCs w:val="18"/>
              </w:rPr>
            </w:pPr>
          </w:p>
          <w:p w14:paraId="0C2F58C9" w14:textId="77777777" w:rsidR="00FB25E3" w:rsidRPr="00D507E6" w:rsidRDefault="00FB25E3" w:rsidP="00FB25E3">
            <w:pPr>
              <w:spacing w:line="276" w:lineRule="auto"/>
              <w:rPr>
                <w:sz w:val="18"/>
                <w:szCs w:val="18"/>
              </w:rPr>
            </w:pPr>
            <w:r w:rsidRPr="00D507E6">
              <w:rPr>
                <w:sz w:val="18"/>
                <w:szCs w:val="18"/>
              </w:rPr>
              <w:t>P1:</w:t>
            </w:r>
          </w:p>
          <w:p w14:paraId="0F6DCA80"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Transport van bouwmaterialen (km)</w:t>
            </w:r>
          </w:p>
          <w:p w14:paraId="01FE3BD0"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Medewerkers uitzendbureau (km)</w:t>
            </w:r>
          </w:p>
          <w:p w14:paraId="11494D98"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Inhuur van ZZP’ers (km)</w:t>
            </w:r>
          </w:p>
          <w:p w14:paraId="44326815"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Transport machines (km)</w:t>
            </w:r>
          </w:p>
          <w:p w14:paraId="5CCFD062" w14:textId="77777777" w:rsidR="00FB25E3" w:rsidRPr="00D507E6" w:rsidRDefault="00FB25E3" w:rsidP="00FB25E3">
            <w:pPr>
              <w:spacing w:line="276" w:lineRule="auto"/>
              <w:rPr>
                <w:sz w:val="18"/>
                <w:szCs w:val="18"/>
              </w:rPr>
            </w:pPr>
          </w:p>
          <w:p w14:paraId="2B7A28E1" w14:textId="77777777" w:rsidR="00FB25E3" w:rsidRPr="00D507E6" w:rsidRDefault="00FB25E3" w:rsidP="00FB25E3">
            <w:pPr>
              <w:spacing w:line="276" w:lineRule="auto"/>
              <w:rPr>
                <w:sz w:val="18"/>
                <w:szCs w:val="18"/>
              </w:rPr>
            </w:pPr>
            <w:r w:rsidRPr="00D507E6">
              <w:rPr>
                <w:sz w:val="18"/>
                <w:szCs w:val="18"/>
              </w:rPr>
              <w:t>P2:</w:t>
            </w:r>
          </w:p>
          <w:p w14:paraId="087EFB16"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Transport van bouwmaterialen (km)</w:t>
            </w:r>
          </w:p>
          <w:p w14:paraId="0A732914"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Medewerkers uitzendbureau (km)</w:t>
            </w:r>
          </w:p>
          <w:p w14:paraId="7EFB8C93"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Inhuur van ZZP’ers (km)</w:t>
            </w:r>
          </w:p>
          <w:p w14:paraId="3C4646EA" w14:textId="77777777" w:rsidR="00FB25E3" w:rsidRDefault="00FB25E3" w:rsidP="00FB25E3">
            <w:pPr>
              <w:pStyle w:val="Lijstalinea"/>
              <w:numPr>
                <w:ilvl w:val="0"/>
                <w:numId w:val="26"/>
              </w:numPr>
              <w:spacing w:line="276" w:lineRule="auto"/>
              <w:rPr>
                <w:sz w:val="18"/>
                <w:szCs w:val="18"/>
              </w:rPr>
            </w:pPr>
            <w:r w:rsidRPr="00D507E6">
              <w:rPr>
                <w:sz w:val="18"/>
                <w:szCs w:val="18"/>
              </w:rPr>
              <w:t>Transport machines (km)</w:t>
            </w:r>
          </w:p>
          <w:p w14:paraId="22D59A7E" w14:textId="77777777" w:rsidR="00FB25E3" w:rsidRDefault="00FB25E3" w:rsidP="00FB25E3">
            <w:pPr>
              <w:rPr>
                <w:sz w:val="18"/>
                <w:szCs w:val="18"/>
              </w:rPr>
            </w:pPr>
          </w:p>
          <w:p w14:paraId="134CD8F8" w14:textId="14051B37" w:rsidR="00FB25E3" w:rsidRPr="00FB25E3" w:rsidRDefault="00FB25E3" w:rsidP="00FB25E3">
            <w:pPr>
              <w:rPr>
                <w:sz w:val="18"/>
                <w:szCs w:val="18"/>
              </w:rPr>
            </w:pPr>
          </w:p>
        </w:tc>
      </w:tr>
      <w:tr w:rsidR="00FB25E3" w:rsidRPr="00D507E6" w14:paraId="6CA5A338" w14:textId="77777777" w:rsidTr="00AA5B6A">
        <w:tc>
          <w:tcPr>
            <w:tcW w:w="421" w:type="dxa"/>
            <w:shd w:val="clear" w:color="auto" w:fill="auto"/>
          </w:tcPr>
          <w:p w14:paraId="6DD5D3F8" w14:textId="77777777" w:rsidR="00FB25E3" w:rsidRPr="00D507E6" w:rsidRDefault="00FB25E3" w:rsidP="00FB25E3">
            <w:pPr>
              <w:spacing w:line="276" w:lineRule="auto"/>
              <w:jc w:val="center"/>
              <w:rPr>
                <w:sz w:val="18"/>
                <w:szCs w:val="18"/>
              </w:rPr>
            </w:pPr>
            <w:r w:rsidRPr="00D507E6">
              <w:rPr>
                <w:sz w:val="18"/>
                <w:szCs w:val="18"/>
              </w:rPr>
              <w:t>5</w:t>
            </w:r>
          </w:p>
        </w:tc>
        <w:tc>
          <w:tcPr>
            <w:tcW w:w="3118" w:type="dxa"/>
            <w:shd w:val="clear" w:color="auto" w:fill="auto"/>
          </w:tcPr>
          <w:p w14:paraId="3F31B2BA" w14:textId="77777777" w:rsidR="00FB25E3" w:rsidRPr="00D507E6" w:rsidRDefault="00FB25E3" w:rsidP="00FB25E3">
            <w:pPr>
              <w:spacing w:line="276" w:lineRule="auto"/>
              <w:rPr>
                <w:sz w:val="18"/>
                <w:szCs w:val="18"/>
              </w:rPr>
            </w:pPr>
            <w:r w:rsidRPr="00D507E6">
              <w:rPr>
                <w:sz w:val="18"/>
                <w:szCs w:val="18"/>
              </w:rPr>
              <w:t>Productieafval</w:t>
            </w:r>
          </w:p>
        </w:tc>
        <w:tc>
          <w:tcPr>
            <w:tcW w:w="1134" w:type="dxa"/>
            <w:shd w:val="clear" w:color="auto" w:fill="auto"/>
          </w:tcPr>
          <w:p w14:paraId="70A2571E" w14:textId="4C4A0471" w:rsidR="00FB25E3" w:rsidRPr="00D507E6" w:rsidRDefault="00FB25E3" w:rsidP="00FB25E3">
            <w:pPr>
              <w:spacing w:line="276" w:lineRule="auto"/>
              <w:jc w:val="center"/>
              <w:rPr>
                <w:sz w:val="18"/>
                <w:szCs w:val="18"/>
              </w:rPr>
            </w:pPr>
            <w:r>
              <w:rPr>
                <w:sz w:val="18"/>
                <w:szCs w:val="18"/>
              </w:rPr>
              <w:t>&lt;1</w:t>
            </w:r>
          </w:p>
        </w:tc>
        <w:tc>
          <w:tcPr>
            <w:tcW w:w="4389" w:type="dxa"/>
            <w:shd w:val="clear" w:color="auto" w:fill="auto"/>
          </w:tcPr>
          <w:p w14:paraId="34319172" w14:textId="3A5C1302" w:rsidR="00FB25E3" w:rsidRPr="00FB25E3" w:rsidRDefault="00FB25E3" w:rsidP="00FB25E3">
            <w:pPr>
              <w:spacing w:line="276" w:lineRule="auto"/>
              <w:rPr>
                <w:sz w:val="18"/>
                <w:szCs w:val="18"/>
              </w:rPr>
            </w:pPr>
            <w:r w:rsidRPr="00941B58">
              <w:rPr>
                <w:sz w:val="18"/>
                <w:szCs w:val="18"/>
              </w:rPr>
              <w:t xml:space="preserve">Het afval wat vrijkomt tijdens de projecten, zijn materialen die goed hergebruikt kunnen worden. De grootste uitstoot zal dan ook het vervoer zijn, deze uitstoot is </w:t>
            </w:r>
            <w:r>
              <w:rPr>
                <w:sz w:val="18"/>
                <w:szCs w:val="18"/>
              </w:rPr>
              <w:t xml:space="preserve">indien van toepassing </w:t>
            </w:r>
            <w:r w:rsidRPr="00941B58">
              <w:rPr>
                <w:sz w:val="18"/>
                <w:szCs w:val="18"/>
              </w:rPr>
              <w:t xml:space="preserve">meegenomen in de </w:t>
            </w:r>
            <w:r>
              <w:rPr>
                <w:sz w:val="18"/>
                <w:szCs w:val="18"/>
              </w:rPr>
              <w:t>categorie upstream transport en distributie.</w:t>
            </w:r>
          </w:p>
        </w:tc>
      </w:tr>
      <w:tr w:rsidR="00FB25E3" w:rsidRPr="00912F2C" w14:paraId="170DF7AF" w14:textId="77777777" w:rsidTr="00AA5B6A">
        <w:tc>
          <w:tcPr>
            <w:tcW w:w="421" w:type="dxa"/>
          </w:tcPr>
          <w:p w14:paraId="29738F42" w14:textId="77777777" w:rsidR="00FB25E3" w:rsidRPr="00912F2C" w:rsidRDefault="00FB25E3" w:rsidP="00FB25E3">
            <w:pPr>
              <w:spacing w:line="276" w:lineRule="auto"/>
              <w:jc w:val="center"/>
              <w:rPr>
                <w:sz w:val="18"/>
                <w:szCs w:val="18"/>
              </w:rPr>
            </w:pPr>
            <w:r w:rsidRPr="00912F2C">
              <w:rPr>
                <w:sz w:val="18"/>
                <w:szCs w:val="18"/>
              </w:rPr>
              <w:t>6</w:t>
            </w:r>
          </w:p>
        </w:tc>
        <w:tc>
          <w:tcPr>
            <w:tcW w:w="3118" w:type="dxa"/>
          </w:tcPr>
          <w:p w14:paraId="514BB0D1" w14:textId="77777777" w:rsidR="00FB25E3" w:rsidRPr="00912F2C" w:rsidRDefault="00FB25E3" w:rsidP="00FB25E3">
            <w:pPr>
              <w:spacing w:line="276" w:lineRule="auto"/>
              <w:rPr>
                <w:sz w:val="18"/>
                <w:szCs w:val="18"/>
              </w:rPr>
            </w:pPr>
            <w:r w:rsidRPr="00912F2C">
              <w:rPr>
                <w:sz w:val="18"/>
                <w:szCs w:val="18"/>
              </w:rPr>
              <w:t>Personenvervoer onder werktijd (valt conform SKAO in scope 2)</w:t>
            </w:r>
          </w:p>
        </w:tc>
        <w:tc>
          <w:tcPr>
            <w:tcW w:w="1134" w:type="dxa"/>
          </w:tcPr>
          <w:p w14:paraId="5FCB1399" w14:textId="77777777" w:rsidR="00FB25E3" w:rsidRPr="00912F2C" w:rsidRDefault="00FB25E3" w:rsidP="00FB25E3">
            <w:pPr>
              <w:spacing w:line="276" w:lineRule="auto"/>
              <w:jc w:val="center"/>
              <w:rPr>
                <w:sz w:val="18"/>
                <w:szCs w:val="18"/>
              </w:rPr>
            </w:pPr>
            <w:r w:rsidRPr="00912F2C">
              <w:rPr>
                <w:sz w:val="18"/>
                <w:szCs w:val="18"/>
              </w:rPr>
              <w:t>-</w:t>
            </w:r>
          </w:p>
        </w:tc>
        <w:tc>
          <w:tcPr>
            <w:tcW w:w="4389" w:type="dxa"/>
          </w:tcPr>
          <w:p w14:paraId="0CBBADFA" w14:textId="77777777" w:rsidR="00FB25E3" w:rsidRPr="00912F2C" w:rsidRDefault="00FB25E3" w:rsidP="00FB25E3">
            <w:pPr>
              <w:spacing w:line="276" w:lineRule="auto"/>
              <w:rPr>
                <w:sz w:val="18"/>
                <w:szCs w:val="18"/>
              </w:rPr>
            </w:pPr>
            <w:r w:rsidRPr="00912F2C">
              <w:rPr>
                <w:sz w:val="18"/>
                <w:szCs w:val="18"/>
              </w:rPr>
              <w:t>Al deze cijfers zijn verwerkt in scope 1 en 2.</w:t>
            </w:r>
          </w:p>
        </w:tc>
      </w:tr>
      <w:tr w:rsidR="00FB25E3" w:rsidRPr="00912F2C" w14:paraId="33812FBD" w14:textId="77777777" w:rsidTr="00AA5B6A">
        <w:tc>
          <w:tcPr>
            <w:tcW w:w="421" w:type="dxa"/>
          </w:tcPr>
          <w:p w14:paraId="0DE3C055" w14:textId="77777777" w:rsidR="00FB25E3" w:rsidRPr="00912F2C" w:rsidRDefault="00FB25E3" w:rsidP="00FB25E3">
            <w:pPr>
              <w:spacing w:line="276" w:lineRule="auto"/>
              <w:jc w:val="center"/>
              <w:rPr>
                <w:sz w:val="18"/>
                <w:szCs w:val="18"/>
              </w:rPr>
            </w:pPr>
            <w:r w:rsidRPr="00912F2C">
              <w:rPr>
                <w:sz w:val="18"/>
                <w:szCs w:val="18"/>
              </w:rPr>
              <w:t>7</w:t>
            </w:r>
          </w:p>
        </w:tc>
        <w:tc>
          <w:tcPr>
            <w:tcW w:w="3118" w:type="dxa"/>
          </w:tcPr>
          <w:p w14:paraId="7556227D" w14:textId="77777777" w:rsidR="00FB25E3" w:rsidRPr="00912F2C" w:rsidRDefault="00FB25E3" w:rsidP="00FB25E3">
            <w:pPr>
              <w:spacing w:line="276" w:lineRule="auto"/>
              <w:rPr>
                <w:sz w:val="18"/>
                <w:szCs w:val="18"/>
              </w:rPr>
            </w:pPr>
            <w:r w:rsidRPr="00912F2C">
              <w:rPr>
                <w:sz w:val="18"/>
                <w:szCs w:val="18"/>
              </w:rPr>
              <w:t>Woon-werkverkeer</w:t>
            </w:r>
          </w:p>
        </w:tc>
        <w:tc>
          <w:tcPr>
            <w:tcW w:w="1134" w:type="dxa"/>
          </w:tcPr>
          <w:p w14:paraId="04761CA9" w14:textId="77777777" w:rsidR="00FB25E3" w:rsidRPr="00912F2C" w:rsidRDefault="00FB25E3" w:rsidP="00FB25E3">
            <w:pPr>
              <w:spacing w:line="276" w:lineRule="auto"/>
              <w:jc w:val="center"/>
              <w:rPr>
                <w:sz w:val="18"/>
                <w:szCs w:val="18"/>
              </w:rPr>
            </w:pPr>
            <w:r w:rsidRPr="00912F2C">
              <w:rPr>
                <w:sz w:val="18"/>
                <w:szCs w:val="18"/>
              </w:rPr>
              <w:t>-</w:t>
            </w:r>
          </w:p>
        </w:tc>
        <w:tc>
          <w:tcPr>
            <w:tcW w:w="4389" w:type="dxa"/>
          </w:tcPr>
          <w:p w14:paraId="42362DA0" w14:textId="77777777" w:rsidR="00FB25E3" w:rsidRPr="00912F2C" w:rsidRDefault="00FB25E3" w:rsidP="00FB25E3">
            <w:pPr>
              <w:spacing w:line="276" w:lineRule="auto"/>
              <w:rPr>
                <w:sz w:val="18"/>
                <w:szCs w:val="18"/>
              </w:rPr>
            </w:pPr>
            <w:r w:rsidRPr="00912F2C">
              <w:rPr>
                <w:sz w:val="18"/>
                <w:szCs w:val="18"/>
              </w:rPr>
              <w:t>Er is geen uitstoot in deze categorie.</w:t>
            </w:r>
          </w:p>
        </w:tc>
      </w:tr>
      <w:tr w:rsidR="00FB25E3" w:rsidRPr="00912F2C" w14:paraId="033158DE" w14:textId="77777777" w:rsidTr="00AA5B6A">
        <w:tc>
          <w:tcPr>
            <w:tcW w:w="421" w:type="dxa"/>
          </w:tcPr>
          <w:p w14:paraId="7E112C9D" w14:textId="77777777" w:rsidR="00FB25E3" w:rsidRPr="00912F2C" w:rsidRDefault="00FB25E3" w:rsidP="00FB25E3">
            <w:pPr>
              <w:spacing w:line="276" w:lineRule="auto"/>
              <w:jc w:val="center"/>
              <w:rPr>
                <w:sz w:val="18"/>
                <w:szCs w:val="18"/>
              </w:rPr>
            </w:pPr>
            <w:r w:rsidRPr="00912F2C">
              <w:rPr>
                <w:sz w:val="18"/>
                <w:szCs w:val="18"/>
              </w:rPr>
              <w:t>8</w:t>
            </w:r>
          </w:p>
        </w:tc>
        <w:tc>
          <w:tcPr>
            <w:tcW w:w="3118" w:type="dxa"/>
          </w:tcPr>
          <w:p w14:paraId="73E983C2" w14:textId="77777777" w:rsidR="00FB25E3" w:rsidRPr="00912F2C" w:rsidRDefault="00FB25E3" w:rsidP="00FB25E3">
            <w:pPr>
              <w:spacing w:line="276" w:lineRule="auto"/>
              <w:rPr>
                <w:sz w:val="18"/>
                <w:szCs w:val="18"/>
              </w:rPr>
            </w:pPr>
            <w:r w:rsidRPr="00912F2C">
              <w:rPr>
                <w:sz w:val="18"/>
                <w:szCs w:val="18"/>
              </w:rPr>
              <w:t>Upstream geleasete activa</w:t>
            </w:r>
          </w:p>
        </w:tc>
        <w:tc>
          <w:tcPr>
            <w:tcW w:w="1134" w:type="dxa"/>
          </w:tcPr>
          <w:p w14:paraId="6070AC13" w14:textId="77777777" w:rsidR="00FB25E3" w:rsidRPr="00912F2C" w:rsidRDefault="00FB25E3" w:rsidP="00FB25E3">
            <w:pPr>
              <w:spacing w:line="276" w:lineRule="auto"/>
              <w:jc w:val="center"/>
              <w:rPr>
                <w:sz w:val="18"/>
                <w:szCs w:val="18"/>
              </w:rPr>
            </w:pPr>
            <w:r w:rsidRPr="00912F2C">
              <w:rPr>
                <w:sz w:val="18"/>
                <w:szCs w:val="18"/>
              </w:rPr>
              <w:t>-</w:t>
            </w:r>
          </w:p>
        </w:tc>
        <w:tc>
          <w:tcPr>
            <w:tcW w:w="4389" w:type="dxa"/>
          </w:tcPr>
          <w:p w14:paraId="5D8645D1" w14:textId="77777777" w:rsidR="00FB25E3" w:rsidRPr="00912F2C" w:rsidRDefault="00FB25E3" w:rsidP="00FB25E3">
            <w:pPr>
              <w:spacing w:line="276" w:lineRule="auto"/>
              <w:rPr>
                <w:sz w:val="18"/>
                <w:szCs w:val="18"/>
              </w:rPr>
            </w:pPr>
            <w:r w:rsidRPr="00912F2C">
              <w:rPr>
                <w:sz w:val="18"/>
                <w:szCs w:val="18"/>
              </w:rPr>
              <w:t>Er is geen uitstoot in deze categorie.</w:t>
            </w:r>
          </w:p>
        </w:tc>
      </w:tr>
    </w:tbl>
    <w:p w14:paraId="150041D1" w14:textId="77777777" w:rsidR="00FB25E3" w:rsidRPr="002430BF" w:rsidRDefault="00FB25E3" w:rsidP="00C80E8C">
      <w:pPr>
        <w:rPr>
          <w:highlight w:val="yellow"/>
        </w:rPr>
      </w:pPr>
    </w:p>
    <w:p w14:paraId="0D1DF9DB" w14:textId="77777777" w:rsidR="00C80E8C" w:rsidRPr="00FB25E3" w:rsidRDefault="00C80E8C" w:rsidP="00C80E8C">
      <w:pPr>
        <w:pStyle w:val="Kop2"/>
      </w:pPr>
      <w:bookmarkStart w:id="4" w:name="_Toc49245510"/>
      <w:r w:rsidRPr="00FB25E3">
        <w:lastRenderedPageBreak/>
        <w:t>Downstream CO2</w:t>
      </w:r>
      <w:bookmarkEnd w:id="4"/>
    </w:p>
    <w:tbl>
      <w:tblPr>
        <w:tblStyle w:val="Tabelraster"/>
        <w:tblW w:w="0" w:type="auto"/>
        <w:tblLook w:val="04A0" w:firstRow="1" w:lastRow="0" w:firstColumn="1" w:lastColumn="0" w:noHBand="0" w:noVBand="1"/>
      </w:tblPr>
      <w:tblGrid>
        <w:gridCol w:w="421"/>
        <w:gridCol w:w="3118"/>
        <w:gridCol w:w="1134"/>
        <w:gridCol w:w="4389"/>
      </w:tblGrid>
      <w:tr w:rsidR="00FB25E3" w:rsidRPr="0077345D" w14:paraId="1C876538" w14:textId="77777777" w:rsidTr="00AA5B6A">
        <w:trPr>
          <w:tblHeader/>
        </w:trPr>
        <w:tc>
          <w:tcPr>
            <w:tcW w:w="421" w:type="dxa"/>
            <w:shd w:val="clear" w:color="auto" w:fill="BFBFBF" w:themeFill="background1" w:themeFillShade="BF"/>
          </w:tcPr>
          <w:p w14:paraId="22DD3FB3" w14:textId="77777777" w:rsidR="00FB25E3" w:rsidRPr="0077345D" w:rsidRDefault="00FB25E3" w:rsidP="00FB25E3">
            <w:pPr>
              <w:spacing w:line="276" w:lineRule="auto"/>
              <w:jc w:val="center"/>
              <w:rPr>
                <w:b/>
                <w:sz w:val="18"/>
                <w:szCs w:val="18"/>
              </w:rPr>
            </w:pPr>
            <w:proofErr w:type="spellStart"/>
            <w:r w:rsidRPr="0077345D">
              <w:rPr>
                <w:b/>
                <w:sz w:val="18"/>
                <w:szCs w:val="18"/>
              </w:rPr>
              <w:t>Nr</w:t>
            </w:r>
            <w:proofErr w:type="spellEnd"/>
          </w:p>
        </w:tc>
        <w:tc>
          <w:tcPr>
            <w:tcW w:w="3118" w:type="dxa"/>
            <w:shd w:val="clear" w:color="auto" w:fill="BFBFBF" w:themeFill="background1" w:themeFillShade="BF"/>
          </w:tcPr>
          <w:p w14:paraId="1CE17CD6" w14:textId="77777777" w:rsidR="00FB25E3" w:rsidRPr="0077345D" w:rsidRDefault="00FB25E3" w:rsidP="00FB25E3">
            <w:pPr>
              <w:spacing w:line="276" w:lineRule="auto"/>
              <w:rPr>
                <w:b/>
                <w:sz w:val="18"/>
                <w:szCs w:val="18"/>
              </w:rPr>
            </w:pPr>
            <w:r w:rsidRPr="0077345D">
              <w:rPr>
                <w:b/>
                <w:sz w:val="18"/>
                <w:szCs w:val="18"/>
              </w:rPr>
              <w:t>Categorie</w:t>
            </w:r>
          </w:p>
          <w:p w14:paraId="117EEA2C" w14:textId="77777777" w:rsidR="00FB25E3" w:rsidRPr="0077345D" w:rsidRDefault="00FB25E3" w:rsidP="00FB25E3">
            <w:pPr>
              <w:spacing w:line="276" w:lineRule="auto"/>
              <w:rPr>
                <w:b/>
                <w:sz w:val="18"/>
                <w:szCs w:val="18"/>
              </w:rPr>
            </w:pPr>
          </w:p>
        </w:tc>
        <w:tc>
          <w:tcPr>
            <w:tcW w:w="1134" w:type="dxa"/>
            <w:shd w:val="clear" w:color="auto" w:fill="BFBFBF" w:themeFill="background1" w:themeFillShade="BF"/>
          </w:tcPr>
          <w:p w14:paraId="4CEA57F3" w14:textId="77777777" w:rsidR="00FB25E3" w:rsidRPr="0077345D" w:rsidRDefault="00FB25E3" w:rsidP="00FB25E3">
            <w:pPr>
              <w:spacing w:line="276" w:lineRule="auto"/>
              <w:jc w:val="center"/>
              <w:rPr>
                <w:b/>
                <w:sz w:val="18"/>
                <w:szCs w:val="18"/>
              </w:rPr>
            </w:pPr>
            <w:r w:rsidRPr="0077345D">
              <w:rPr>
                <w:b/>
                <w:sz w:val="18"/>
                <w:szCs w:val="18"/>
              </w:rPr>
              <w:t>Uitstoot CO2 (ton)</w:t>
            </w:r>
          </w:p>
        </w:tc>
        <w:tc>
          <w:tcPr>
            <w:tcW w:w="4389" w:type="dxa"/>
            <w:shd w:val="clear" w:color="auto" w:fill="BFBFBF" w:themeFill="background1" w:themeFillShade="BF"/>
          </w:tcPr>
          <w:p w14:paraId="553CE76F" w14:textId="77777777" w:rsidR="00FB25E3" w:rsidRPr="0077345D" w:rsidRDefault="00FB25E3" w:rsidP="00FB25E3">
            <w:pPr>
              <w:spacing w:line="276" w:lineRule="auto"/>
              <w:rPr>
                <w:b/>
                <w:sz w:val="18"/>
                <w:szCs w:val="18"/>
              </w:rPr>
            </w:pPr>
            <w:r>
              <w:rPr>
                <w:b/>
                <w:sz w:val="18"/>
                <w:szCs w:val="18"/>
              </w:rPr>
              <w:t>Energiestromen scope 3</w:t>
            </w:r>
          </w:p>
        </w:tc>
      </w:tr>
      <w:tr w:rsidR="00FB25E3" w:rsidRPr="00D507E6" w14:paraId="0D100B2D" w14:textId="77777777" w:rsidTr="00AA5B6A">
        <w:tc>
          <w:tcPr>
            <w:tcW w:w="421" w:type="dxa"/>
            <w:shd w:val="clear" w:color="auto" w:fill="auto"/>
          </w:tcPr>
          <w:p w14:paraId="1142CB4C" w14:textId="77777777" w:rsidR="00FB25E3" w:rsidRPr="00D507E6" w:rsidRDefault="00FB25E3" w:rsidP="00FB25E3">
            <w:pPr>
              <w:spacing w:line="276" w:lineRule="auto"/>
              <w:jc w:val="center"/>
              <w:rPr>
                <w:sz w:val="18"/>
                <w:szCs w:val="18"/>
              </w:rPr>
            </w:pPr>
            <w:r w:rsidRPr="00D507E6">
              <w:rPr>
                <w:sz w:val="18"/>
                <w:szCs w:val="18"/>
              </w:rPr>
              <w:t>9</w:t>
            </w:r>
          </w:p>
        </w:tc>
        <w:tc>
          <w:tcPr>
            <w:tcW w:w="3118" w:type="dxa"/>
            <w:shd w:val="clear" w:color="auto" w:fill="auto"/>
          </w:tcPr>
          <w:p w14:paraId="4A7DCDB1" w14:textId="77777777" w:rsidR="00FB25E3" w:rsidRPr="00D507E6" w:rsidRDefault="00FB25E3" w:rsidP="00FB25E3">
            <w:pPr>
              <w:spacing w:line="276" w:lineRule="auto"/>
              <w:rPr>
                <w:sz w:val="18"/>
                <w:szCs w:val="18"/>
              </w:rPr>
            </w:pPr>
            <w:r w:rsidRPr="00D507E6">
              <w:rPr>
                <w:sz w:val="18"/>
                <w:szCs w:val="18"/>
              </w:rPr>
              <w:t>Downstream transport en distributie</w:t>
            </w:r>
          </w:p>
        </w:tc>
        <w:tc>
          <w:tcPr>
            <w:tcW w:w="1134" w:type="dxa"/>
            <w:shd w:val="clear" w:color="auto" w:fill="auto"/>
          </w:tcPr>
          <w:p w14:paraId="5748EA26" w14:textId="593AFD85" w:rsidR="00FB25E3" w:rsidRPr="00D507E6" w:rsidRDefault="00A72AA9" w:rsidP="00A72AA9">
            <w:pPr>
              <w:spacing w:line="276" w:lineRule="auto"/>
              <w:jc w:val="center"/>
              <w:rPr>
                <w:sz w:val="18"/>
                <w:szCs w:val="18"/>
              </w:rPr>
            </w:pPr>
            <w:r>
              <w:rPr>
                <w:sz w:val="18"/>
                <w:szCs w:val="18"/>
              </w:rPr>
              <w:t>(zie ketenanalyse)</w:t>
            </w:r>
            <w:bookmarkStart w:id="5" w:name="_GoBack"/>
            <w:bookmarkEnd w:id="5"/>
          </w:p>
        </w:tc>
        <w:tc>
          <w:tcPr>
            <w:tcW w:w="4389" w:type="dxa"/>
            <w:shd w:val="clear" w:color="auto" w:fill="auto"/>
          </w:tcPr>
          <w:p w14:paraId="234B8E65" w14:textId="77777777" w:rsidR="00FB25E3" w:rsidRPr="00D507E6" w:rsidRDefault="00FB25E3" w:rsidP="00FB25E3">
            <w:pPr>
              <w:spacing w:line="276" w:lineRule="auto"/>
              <w:rPr>
                <w:sz w:val="18"/>
                <w:szCs w:val="18"/>
              </w:rPr>
            </w:pPr>
            <w:r w:rsidRPr="00D507E6">
              <w:rPr>
                <w:sz w:val="18"/>
                <w:szCs w:val="18"/>
              </w:rPr>
              <w:t>Voor het bepalen van de uitstoot van downstream transport en distributie zijn de volgende energiestromen van toepassing:</w:t>
            </w:r>
          </w:p>
          <w:p w14:paraId="24A28352" w14:textId="77777777" w:rsidR="00FB25E3" w:rsidRPr="00D507E6" w:rsidRDefault="00FB25E3" w:rsidP="00FB25E3">
            <w:pPr>
              <w:spacing w:line="276" w:lineRule="auto"/>
              <w:rPr>
                <w:sz w:val="18"/>
                <w:szCs w:val="18"/>
              </w:rPr>
            </w:pPr>
          </w:p>
          <w:p w14:paraId="0994B756" w14:textId="77777777" w:rsidR="00FB25E3" w:rsidRPr="00D507E6" w:rsidRDefault="00FB25E3" w:rsidP="00FB25E3">
            <w:pPr>
              <w:spacing w:line="276" w:lineRule="auto"/>
              <w:rPr>
                <w:sz w:val="18"/>
                <w:szCs w:val="18"/>
              </w:rPr>
            </w:pPr>
            <w:r w:rsidRPr="00D507E6">
              <w:rPr>
                <w:sz w:val="18"/>
                <w:szCs w:val="18"/>
              </w:rPr>
              <w:t>P1:</w:t>
            </w:r>
          </w:p>
          <w:p w14:paraId="294A09DA"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Niet van toepassing</w:t>
            </w:r>
          </w:p>
          <w:p w14:paraId="1868BF19" w14:textId="77777777" w:rsidR="00FB25E3" w:rsidRPr="00D507E6" w:rsidRDefault="00FB25E3" w:rsidP="00FB25E3">
            <w:pPr>
              <w:spacing w:line="276" w:lineRule="auto"/>
              <w:rPr>
                <w:sz w:val="18"/>
                <w:szCs w:val="18"/>
              </w:rPr>
            </w:pPr>
          </w:p>
          <w:p w14:paraId="0577DFD4" w14:textId="77777777" w:rsidR="00FB25E3" w:rsidRPr="00D507E6" w:rsidRDefault="00FB25E3" w:rsidP="00FB25E3">
            <w:pPr>
              <w:spacing w:line="276" w:lineRule="auto"/>
              <w:rPr>
                <w:sz w:val="18"/>
                <w:szCs w:val="18"/>
              </w:rPr>
            </w:pPr>
            <w:r w:rsidRPr="00D507E6">
              <w:rPr>
                <w:sz w:val="18"/>
                <w:szCs w:val="18"/>
              </w:rPr>
              <w:t>P2:</w:t>
            </w:r>
          </w:p>
          <w:p w14:paraId="62D26EE7" w14:textId="77777777" w:rsidR="00FB25E3" w:rsidRPr="00D507E6" w:rsidRDefault="00FB25E3" w:rsidP="00FB25E3">
            <w:pPr>
              <w:pStyle w:val="Lijstalinea"/>
              <w:numPr>
                <w:ilvl w:val="0"/>
                <w:numId w:val="26"/>
              </w:numPr>
              <w:spacing w:line="276" w:lineRule="auto"/>
              <w:rPr>
                <w:sz w:val="18"/>
                <w:szCs w:val="18"/>
              </w:rPr>
            </w:pPr>
            <w:r w:rsidRPr="00D507E6">
              <w:rPr>
                <w:sz w:val="18"/>
                <w:szCs w:val="18"/>
              </w:rPr>
              <w:t>Transport van vrijgekomen grond (km)</w:t>
            </w:r>
          </w:p>
          <w:p w14:paraId="1066456C" w14:textId="77777777" w:rsidR="00FB25E3" w:rsidRDefault="00FB25E3" w:rsidP="00FB25E3">
            <w:pPr>
              <w:pStyle w:val="Lijstalinea"/>
              <w:numPr>
                <w:ilvl w:val="0"/>
                <w:numId w:val="26"/>
              </w:numPr>
              <w:spacing w:line="276" w:lineRule="auto"/>
              <w:rPr>
                <w:sz w:val="18"/>
                <w:szCs w:val="18"/>
              </w:rPr>
            </w:pPr>
            <w:r w:rsidRPr="00D507E6">
              <w:rPr>
                <w:sz w:val="18"/>
                <w:szCs w:val="18"/>
              </w:rPr>
              <w:t>Transport van vrijgekomen elementenverharding (km)</w:t>
            </w:r>
          </w:p>
          <w:p w14:paraId="6DC39D8A" w14:textId="77777777" w:rsidR="00FB25E3" w:rsidRDefault="00FB25E3" w:rsidP="00FB25E3">
            <w:pPr>
              <w:rPr>
                <w:sz w:val="18"/>
                <w:szCs w:val="18"/>
              </w:rPr>
            </w:pPr>
          </w:p>
          <w:p w14:paraId="3DF5782C" w14:textId="1A3840A1" w:rsidR="00FB25E3" w:rsidRPr="00FB25E3" w:rsidRDefault="00FB25E3" w:rsidP="00FB25E3">
            <w:pPr>
              <w:rPr>
                <w:sz w:val="18"/>
                <w:szCs w:val="18"/>
              </w:rPr>
            </w:pPr>
          </w:p>
        </w:tc>
      </w:tr>
      <w:tr w:rsidR="00FB25E3" w:rsidRPr="00465580" w14:paraId="1406B5AA" w14:textId="77777777" w:rsidTr="00AA5B6A">
        <w:tc>
          <w:tcPr>
            <w:tcW w:w="421" w:type="dxa"/>
            <w:shd w:val="clear" w:color="auto" w:fill="auto"/>
          </w:tcPr>
          <w:p w14:paraId="3B8972FF" w14:textId="77777777" w:rsidR="00FB25E3" w:rsidRPr="00465580" w:rsidRDefault="00FB25E3" w:rsidP="00FB25E3">
            <w:pPr>
              <w:spacing w:line="276" w:lineRule="auto"/>
              <w:jc w:val="center"/>
              <w:rPr>
                <w:sz w:val="18"/>
                <w:szCs w:val="18"/>
              </w:rPr>
            </w:pPr>
            <w:r w:rsidRPr="00465580">
              <w:rPr>
                <w:sz w:val="18"/>
                <w:szCs w:val="18"/>
              </w:rPr>
              <w:t>10</w:t>
            </w:r>
          </w:p>
        </w:tc>
        <w:tc>
          <w:tcPr>
            <w:tcW w:w="3118" w:type="dxa"/>
            <w:shd w:val="clear" w:color="auto" w:fill="auto"/>
          </w:tcPr>
          <w:p w14:paraId="230D7C93" w14:textId="77777777" w:rsidR="00FB25E3" w:rsidRPr="00465580" w:rsidRDefault="00FB25E3" w:rsidP="00FB25E3">
            <w:pPr>
              <w:spacing w:line="276" w:lineRule="auto"/>
              <w:rPr>
                <w:sz w:val="18"/>
                <w:szCs w:val="18"/>
              </w:rPr>
            </w:pPr>
            <w:r w:rsidRPr="00465580">
              <w:rPr>
                <w:sz w:val="18"/>
                <w:szCs w:val="18"/>
              </w:rPr>
              <w:t>Ver- of bewerken van verkochte producten</w:t>
            </w:r>
          </w:p>
        </w:tc>
        <w:tc>
          <w:tcPr>
            <w:tcW w:w="1134" w:type="dxa"/>
            <w:shd w:val="clear" w:color="auto" w:fill="auto"/>
          </w:tcPr>
          <w:p w14:paraId="5770E85F" w14:textId="77777777" w:rsidR="00FB25E3" w:rsidRPr="00465580" w:rsidRDefault="00FB25E3" w:rsidP="00FB25E3">
            <w:pPr>
              <w:spacing w:line="276" w:lineRule="auto"/>
              <w:jc w:val="center"/>
              <w:rPr>
                <w:sz w:val="18"/>
                <w:szCs w:val="18"/>
              </w:rPr>
            </w:pPr>
            <w:r w:rsidRPr="00465580">
              <w:rPr>
                <w:sz w:val="18"/>
                <w:szCs w:val="18"/>
              </w:rPr>
              <w:t>-</w:t>
            </w:r>
          </w:p>
        </w:tc>
        <w:tc>
          <w:tcPr>
            <w:tcW w:w="4389" w:type="dxa"/>
            <w:shd w:val="clear" w:color="auto" w:fill="auto"/>
          </w:tcPr>
          <w:p w14:paraId="218F5D9B" w14:textId="77777777" w:rsidR="00FB25E3" w:rsidRPr="00465580" w:rsidRDefault="00FB25E3" w:rsidP="00FB25E3">
            <w:pPr>
              <w:spacing w:line="276" w:lineRule="auto"/>
              <w:rPr>
                <w:sz w:val="18"/>
                <w:szCs w:val="18"/>
              </w:rPr>
            </w:pPr>
            <w:r w:rsidRPr="00465580">
              <w:rPr>
                <w:sz w:val="18"/>
                <w:szCs w:val="18"/>
              </w:rPr>
              <w:t>Er is geen uitstoot in deze categorie.</w:t>
            </w:r>
          </w:p>
        </w:tc>
      </w:tr>
      <w:tr w:rsidR="00FB25E3" w:rsidRPr="0077345D" w14:paraId="5D6EDD7D" w14:textId="77777777" w:rsidTr="00AA5B6A">
        <w:tc>
          <w:tcPr>
            <w:tcW w:w="421" w:type="dxa"/>
          </w:tcPr>
          <w:p w14:paraId="6073F0A1" w14:textId="77777777" w:rsidR="00FB25E3" w:rsidRPr="0077345D" w:rsidRDefault="00FB25E3" w:rsidP="00FB25E3">
            <w:pPr>
              <w:spacing w:line="276" w:lineRule="auto"/>
              <w:jc w:val="center"/>
              <w:rPr>
                <w:sz w:val="18"/>
                <w:szCs w:val="18"/>
              </w:rPr>
            </w:pPr>
            <w:r w:rsidRPr="0077345D">
              <w:rPr>
                <w:sz w:val="18"/>
                <w:szCs w:val="18"/>
              </w:rPr>
              <w:t>11</w:t>
            </w:r>
          </w:p>
        </w:tc>
        <w:tc>
          <w:tcPr>
            <w:tcW w:w="3118" w:type="dxa"/>
          </w:tcPr>
          <w:p w14:paraId="5AE34154" w14:textId="77777777" w:rsidR="00FB25E3" w:rsidRPr="0077345D" w:rsidRDefault="00FB25E3" w:rsidP="00FB25E3">
            <w:pPr>
              <w:spacing w:line="276" w:lineRule="auto"/>
              <w:rPr>
                <w:sz w:val="18"/>
                <w:szCs w:val="18"/>
              </w:rPr>
            </w:pPr>
            <w:r w:rsidRPr="0077345D">
              <w:rPr>
                <w:sz w:val="18"/>
                <w:szCs w:val="18"/>
              </w:rPr>
              <w:t>Gebruik van verkochte producten</w:t>
            </w:r>
          </w:p>
        </w:tc>
        <w:tc>
          <w:tcPr>
            <w:tcW w:w="1134" w:type="dxa"/>
          </w:tcPr>
          <w:p w14:paraId="5B4E227C" w14:textId="77777777" w:rsidR="00FB25E3" w:rsidRPr="0077345D" w:rsidRDefault="00FB25E3" w:rsidP="00FB25E3">
            <w:pPr>
              <w:spacing w:line="276" w:lineRule="auto"/>
              <w:jc w:val="center"/>
              <w:rPr>
                <w:sz w:val="18"/>
                <w:szCs w:val="18"/>
              </w:rPr>
            </w:pPr>
            <w:r w:rsidRPr="0077345D">
              <w:rPr>
                <w:sz w:val="18"/>
                <w:szCs w:val="18"/>
              </w:rPr>
              <w:t>-</w:t>
            </w:r>
          </w:p>
        </w:tc>
        <w:tc>
          <w:tcPr>
            <w:tcW w:w="4389" w:type="dxa"/>
          </w:tcPr>
          <w:p w14:paraId="5F8DC942" w14:textId="77777777" w:rsidR="00FB25E3" w:rsidRPr="0077345D" w:rsidRDefault="00FB25E3" w:rsidP="00FB25E3">
            <w:pPr>
              <w:spacing w:line="276" w:lineRule="auto"/>
              <w:rPr>
                <w:sz w:val="18"/>
                <w:szCs w:val="18"/>
              </w:rPr>
            </w:pPr>
            <w:r w:rsidRPr="00465580">
              <w:rPr>
                <w:sz w:val="18"/>
                <w:szCs w:val="18"/>
              </w:rPr>
              <w:t>Er is geen uitstoot in deze categorie.</w:t>
            </w:r>
          </w:p>
        </w:tc>
      </w:tr>
      <w:tr w:rsidR="00FB25E3" w:rsidRPr="0077345D" w14:paraId="5EF2A366" w14:textId="77777777" w:rsidTr="00AA5B6A">
        <w:tc>
          <w:tcPr>
            <w:tcW w:w="421" w:type="dxa"/>
          </w:tcPr>
          <w:p w14:paraId="0133EF90" w14:textId="77777777" w:rsidR="00FB25E3" w:rsidRPr="0077345D" w:rsidRDefault="00FB25E3" w:rsidP="00FB25E3">
            <w:pPr>
              <w:spacing w:line="276" w:lineRule="auto"/>
              <w:jc w:val="center"/>
              <w:rPr>
                <w:sz w:val="18"/>
                <w:szCs w:val="18"/>
              </w:rPr>
            </w:pPr>
            <w:r w:rsidRPr="0077345D">
              <w:rPr>
                <w:sz w:val="18"/>
                <w:szCs w:val="18"/>
              </w:rPr>
              <w:t>12</w:t>
            </w:r>
          </w:p>
        </w:tc>
        <w:tc>
          <w:tcPr>
            <w:tcW w:w="3118" w:type="dxa"/>
          </w:tcPr>
          <w:p w14:paraId="407A110C" w14:textId="77777777" w:rsidR="00FB25E3" w:rsidRPr="0077345D" w:rsidRDefault="00FB25E3" w:rsidP="00FB25E3">
            <w:pPr>
              <w:spacing w:line="276" w:lineRule="auto"/>
              <w:rPr>
                <w:sz w:val="18"/>
                <w:szCs w:val="18"/>
              </w:rPr>
            </w:pPr>
            <w:r w:rsidRPr="0077345D">
              <w:rPr>
                <w:sz w:val="18"/>
                <w:szCs w:val="18"/>
              </w:rPr>
              <w:t>End-of-life verwerking van verkochte producten</w:t>
            </w:r>
          </w:p>
        </w:tc>
        <w:tc>
          <w:tcPr>
            <w:tcW w:w="1134" w:type="dxa"/>
          </w:tcPr>
          <w:p w14:paraId="25ECD9DF" w14:textId="77777777" w:rsidR="00FB25E3" w:rsidRPr="0077345D" w:rsidRDefault="00FB25E3" w:rsidP="00FB25E3">
            <w:pPr>
              <w:spacing w:line="276" w:lineRule="auto"/>
              <w:jc w:val="center"/>
              <w:rPr>
                <w:sz w:val="18"/>
                <w:szCs w:val="18"/>
              </w:rPr>
            </w:pPr>
            <w:r w:rsidRPr="0077345D">
              <w:rPr>
                <w:sz w:val="18"/>
                <w:szCs w:val="18"/>
              </w:rPr>
              <w:t>&lt;1</w:t>
            </w:r>
          </w:p>
        </w:tc>
        <w:tc>
          <w:tcPr>
            <w:tcW w:w="4389" w:type="dxa"/>
          </w:tcPr>
          <w:p w14:paraId="0A6EFD28" w14:textId="77777777" w:rsidR="00FB25E3" w:rsidRPr="0077345D" w:rsidRDefault="00FB25E3" w:rsidP="00FB25E3">
            <w:pPr>
              <w:spacing w:line="276" w:lineRule="auto"/>
              <w:rPr>
                <w:sz w:val="18"/>
                <w:szCs w:val="18"/>
              </w:rPr>
            </w:pPr>
            <w:r w:rsidRPr="0077345D">
              <w:rPr>
                <w:sz w:val="18"/>
                <w:szCs w:val="18"/>
              </w:rPr>
              <w:t xml:space="preserve">De projecten die zijn gerealiseerd worden aan het eind van de levensduur bijna 100% gerecycled of verwerkt. </w:t>
            </w:r>
          </w:p>
        </w:tc>
      </w:tr>
      <w:tr w:rsidR="00FB25E3" w:rsidRPr="007D6A57" w14:paraId="77E43360" w14:textId="77777777" w:rsidTr="00AA5B6A">
        <w:tc>
          <w:tcPr>
            <w:tcW w:w="421" w:type="dxa"/>
          </w:tcPr>
          <w:p w14:paraId="1D735EEB" w14:textId="77777777" w:rsidR="00FB25E3" w:rsidRPr="007D6A57" w:rsidRDefault="00FB25E3" w:rsidP="00FB25E3">
            <w:pPr>
              <w:spacing w:line="276" w:lineRule="auto"/>
              <w:jc w:val="center"/>
              <w:rPr>
                <w:sz w:val="18"/>
                <w:szCs w:val="18"/>
              </w:rPr>
            </w:pPr>
            <w:r w:rsidRPr="007D6A57">
              <w:rPr>
                <w:sz w:val="18"/>
                <w:szCs w:val="18"/>
              </w:rPr>
              <w:t>13</w:t>
            </w:r>
          </w:p>
        </w:tc>
        <w:tc>
          <w:tcPr>
            <w:tcW w:w="3118" w:type="dxa"/>
          </w:tcPr>
          <w:p w14:paraId="6E0D0F32" w14:textId="77777777" w:rsidR="00FB25E3" w:rsidRPr="007D6A57" w:rsidRDefault="00FB25E3" w:rsidP="00FB25E3">
            <w:pPr>
              <w:spacing w:line="276" w:lineRule="auto"/>
              <w:rPr>
                <w:sz w:val="18"/>
                <w:szCs w:val="18"/>
              </w:rPr>
            </w:pPr>
            <w:r w:rsidRPr="007D6A57">
              <w:rPr>
                <w:sz w:val="18"/>
                <w:szCs w:val="18"/>
              </w:rPr>
              <w:t>Downstream geleasete activa</w:t>
            </w:r>
          </w:p>
        </w:tc>
        <w:tc>
          <w:tcPr>
            <w:tcW w:w="1134" w:type="dxa"/>
          </w:tcPr>
          <w:p w14:paraId="060CE95A" w14:textId="77777777" w:rsidR="00FB25E3" w:rsidRPr="007D6A57" w:rsidRDefault="00FB25E3" w:rsidP="00FB25E3">
            <w:pPr>
              <w:spacing w:line="276" w:lineRule="auto"/>
              <w:jc w:val="center"/>
              <w:rPr>
                <w:sz w:val="18"/>
                <w:szCs w:val="18"/>
              </w:rPr>
            </w:pPr>
            <w:r w:rsidRPr="007D6A57">
              <w:rPr>
                <w:sz w:val="18"/>
                <w:szCs w:val="18"/>
              </w:rPr>
              <w:t>-</w:t>
            </w:r>
          </w:p>
        </w:tc>
        <w:tc>
          <w:tcPr>
            <w:tcW w:w="4389" w:type="dxa"/>
          </w:tcPr>
          <w:p w14:paraId="3860E2A9" w14:textId="77777777" w:rsidR="00FB25E3" w:rsidRPr="007D6A57" w:rsidRDefault="00FB25E3" w:rsidP="00FB25E3">
            <w:pPr>
              <w:spacing w:line="276" w:lineRule="auto"/>
              <w:rPr>
                <w:sz w:val="18"/>
                <w:szCs w:val="18"/>
              </w:rPr>
            </w:pPr>
            <w:r w:rsidRPr="007D6A57">
              <w:rPr>
                <w:sz w:val="18"/>
                <w:szCs w:val="18"/>
              </w:rPr>
              <w:t>Er is geen uitstoot in deze categorie.</w:t>
            </w:r>
          </w:p>
        </w:tc>
      </w:tr>
      <w:tr w:rsidR="00FB25E3" w:rsidRPr="007D6A57" w14:paraId="383B058C" w14:textId="77777777" w:rsidTr="00AA5B6A">
        <w:tc>
          <w:tcPr>
            <w:tcW w:w="421" w:type="dxa"/>
          </w:tcPr>
          <w:p w14:paraId="0893DCBE" w14:textId="77777777" w:rsidR="00FB25E3" w:rsidRPr="007D6A57" w:rsidRDefault="00FB25E3" w:rsidP="00FB25E3">
            <w:pPr>
              <w:spacing w:line="276" w:lineRule="auto"/>
              <w:jc w:val="center"/>
              <w:rPr>
                <w:sz w:val="18"/>
                <w:szCs w:val="18"/>
              </w:rPr>
            </w:pPr>
            <w:r w:rsidRPr="007D6A57">
              <w:rPr>
                <w:sz w:val="18"/>
                <w:szCs w:val="18"/>
              </w:rPr>
              <w:t>14</w:t>
            </w:r>
          </w:p>
        </w:tc>
        <w:tc>
          <w:tcPr>
            <w:tcW w:w="3118" w:type="dxa"/>
          </w:tcPr>
          <w:p w14:paraId="2B882A09" w14:textId="77777777" w:rsidR="00FB25E3" w:rsidRPr="007D6A57" w:rsidRDefault="00FB25E3" w:rsidP="00FB25E3">
            <w:pPr>
              <w:spacing w:line="276" w:lineRule="auto"/>
              <w:rPr>
                <w:sz w:val="18"/>
                <w:szCs w:val="18"/>
              </w:rPr>
            </w:pPr>
            <w:r w:rsidRPr="007D6A57">
              <w:rPr>
                <w:sz w:val="18"/>
                <w:szCs w:val="18"/>
              </w:rPr>
              <w:t>Franchisehouders</w:t>
            </w:r>
          </w:p>
        </w:tc>
        <w:tc>
          <w:tcPr>
            <w:tcW w:w="1134" w:type="dxa"/>
          </w:tcPr>
          <w:p w14:paraId="21C159E9" w14:textId="77777777" w:rsidR="00FB25E3" w:rsidRPr="007D6A57" w:rsidRDefault="00FB25E3" w:rsidP="00FB25E3">
            <w:pPr>
              <w:spacing w:line="276" w:lineRule="auto"/>
              <w:jc w:val="center"/>
              <w:rPr>
                <w:sz w:val="18"/>
                <w:szCs w:val="18"/>
              </w:rPr>
            </w:pPr>
            <w:r w:rsidRPr="007D6A57">
              <w:rPr>
                <w:sz w:val="18"/>
                <w:szCs w:val="18"/>
              </w:rPr>
              <w:t>-</w:t>
            </w:r>
          </w:p>
        </w:tc>
        <w:tc>
          <w:tcPr>
            <w:tcW w:w="4389" w:type="dxa"/>
          </w:tcPr>
          <w:p w14:paraId="11A313CB" w14:textId="77777777" w:rsidR="00FB25E3" w:rsidRPr="007D6A57" w:rsidRDefault="00FB25E3" w:rsidP="00FB25E3">
            <w:pPr>
              <w:spacing w:line="276" w:lineRule="auto"/>
              <w:rPr>
                <w:sz w:val="18"/>
                <w:szCs w:val="18"/>
              </w:rPr>
            </w:pPr>
            <w:r w:rsidRPr="007D6A57">
              <w:rPr>
                <w:sz w:val="18"/>
                <w:szCs w:val="18"/>
              </w:rPr>
              <w:t>Er is geen uitstoot in deze categorie.</w:t>
            </w:r>
          </w:p>
        </w:tc>
      </w:tr>
      <w:tr w:rsidR="00FB25E3" w:rsidRPr="007D6A57" w14:paraId="6CBB197C" w14:textId="77777777" w:rsidTr="00AA5B6A">
        <w:tc>
          <w:tcPr>
            <w:tcW w:w="421" w:type="dxa"/>
          </w:tcPr>
          <w:p w14:paraId="4B50AB8B" w14:textId="77777777" w:rsidR="00FB25E3" w:rsidRPr="007D6A57" w:rsidRDefault="00FB25E3" w:rsidP="00FB25E3">
            <w:pPr>
              <w:spacing w:line="276" w:lineRule="auto"/>
              <w:jc w:val="center"/>
              <w:rPr>
                <w:sz w:val="18"/>
                <w:szCs w:val="18"/>
              </w:rPr>
            </w:pPr>
            <w:r w:rsidRPr="007D6A57">
              <w:rPr>
                <w:sz w:val="18"/>
                <w:szCs w:val="18"/>
              </w:rPr>
              <w:t>15</w:t>
            </w:r>
          </w:p>
        </w:tc>
        <w:tc>
          <w:tcPr>
            <w:tcW w:w="3118" w:type="dxa"/>
          </w:tcPr>
          <w:p w14:paraId="70D1CB9C" w14:textId="77777777" w:rsidR="00FB25E3" w:rsidRPr="007D6A57" w:rsidRDefault="00FB25E3" w:rsidP="00FB25E3">
            <w:pPr>
              <w:spacing w:line="276" w:lineRule="auto"/>
              <w:rPr>
                <w:sz w:val="18"/>
                <w:szCs w:val="18"/>
              </w:rPr>
            </w:pPr>
            <w:r w:rsidRPr="007D6A57">
              <w:rPr>
                <w:sz w:val="18"/>
                <w:szCs w:val="18"/>
              </w:rPr>
              <w:t>Investeringen</w:t>
            </w:r>
          </w:p>
        </w:tc>
        <w:tc>
          <w:tcPr>
            <w:tcW w:w="1134" w:type="dxa"/>
          </w:tcPr>
          <w:p w14:paraId="3B7D10E4" w14:textId="77777777" w:rsidR="00FB25E3" w:rsidRPr="007D6A57" w:rsidRDefault="00FB25E3" w:rsidP="00FB25E3">
            <w:pPr>
              <w:spacing w:line="276" w:lineRule="auto"/>
              <w:jc w:val="center"/>
              <w:rPr>
                <w:sz w:val="18"/>
                <w:szCs w:val="18"/>
              </w:rPr>
            </w:pPr>
            <w:r w:rsidRPr="007D6A57">
              <w:rPr>
                <w:sz w:val="18"/>
                <w:szCs w:val="18"/>
              </w:rPr>
              <w:t>-</w:t>
            </w:r>
          </w:p>
        </w:tc>
        <w:tc>
          <w:tcPr>
            <w:tcW w:w="4389" w:type="dxa"/>
          </w:tcPr>
          <w:p w14:paraId="47FDBFFD" w14:textId="77777777" w:rsidR="00FB25E3" w:rsidRPr="007D6A57" w:rsidRDefault="00FB25E3" w:rsidP="00FB25E3">
            <w:pPr>
              <w:spacing w:line="276" w:lineRule="auto"/>
              <w:rPr>
                <w:sz w:val="18"/>
                <w:szCs w:val="18"/>
              </w:rPr>
            </w:pPr>
            <w:r w:rsidRPr="007D6A57">
              <w:rPr>
                <w:sz w:val="18"/>
                <w:szCs w:val="18"/>
              </w:rPr>
              <w:t>Er is geen uitstoot in deze categorie.</w:t>
            </w:r>
          </w:p>
        </w:tc>
      </w:tr>
    </w:tbl>
    <w:p w14:paraId="07936B9E" w14:textId="77777777" w:rsidR="00C80E8C" w:rsidRPr="002430BF" w:rsidRDefault="00C80E8C" w:rsidP="00C80E8C">
      <w:pPr>
        <w:rPr>
          <w:highlight w:val="yellow"/>
        </w:rPr>
      </w:pPr>
    </w:p>
    <w:p w14:paraId="7A0775B1" w14:textId="77777777" w:rsidR="00C80E8C" w:rsidRPr="002430BF" w:rsidRDefault="00C80E8C" w:rsidP="00C80E8C">
      <w:pPr>
        <w:rPr>
          <w:highlight w:val="yellow"/>
        </w:rPr>
      </w:pPr>
    </w:p>
    <w:p w14:paraId="2C4CAABA" w14:textId="77777777" w:rsidR="00C80E8C" w:rsidRPr="002430BF" w:rsidRDefault="00C80E8C" w:rsidP="0098375C">
      <w:pPr>
        <w:rPr>
          <w:highlight w:val="yellow"/>
        </w:rPr>
      </w:pPr>
    </w:p>
    <w:p w14:paraId="6FD00AF8" w14:textId="77777777" w:rsidR="0061605E" w:rsidRPr="002430BF" w:rsidRDefault="0061605E">
      <w:pPr>
        <w:spacing w:after="200"/>
        <w:rPr>
          <w:rFonts w:eastAsiaTheme="majorEastAsia" w:cstheme="majorBidi"/>
          <w:b/>
          <w:bCs/>
          <w:caps/>
          <w:sz w:val="32"/>
          <w:szCs w:val="32"/>
          <w:highlight w:val="yellow"/>
        </w:rPr>
      </w:pPr>
      <w:r w:rsidRPr="002430BF">
        <w:rPr>
          <w:highlight w:val="yellow"/>
        </w:rPr>
        <w:br w:type="page"/>
      </w:r>
    </w:p>
    <w:p w14:paraId="56F5B8FC" w14:textId="4F4C2A86" w:rsidR="00410CFD" w:rsidRPr="00D96400" w:rsidRDefault="00410CFD" w:rsidP="00410CFD">
      <w:pPr>
        <w:pStyle w:val="Kop1"/>
      </w:pPr>
      <w:bookmarkStart w:id="6" w:name="_Toc49245511"/>
      <w:r w:rsidRPr="00D96400">
        <w:lastRenderedPageBreak/>
        <w:t>Inschatting rangorde meest materiele emissie</w:t>
      </w:r>
      <w:bookmarkEnd w:id="6"/>
    </w:p>
    <w:p w14:paraId="5A6F3FDB" w14:textId="17088D86" w:rsidR="001855BC" w:rsidRPr="00D96400" w:rsidRDefault="001855BC" w:rsidP="001855BC">
      <w:pPr>
        <w:pStyle w:val="Kop2"/>
      </w:pPr>
      <w:bookmarkStart w:id="7" w:name="_Toc49245512"/>
      <w:r w:rsidRPr="00D96400">
        <w:t>Bepaling relatieve omvang kwaliteit</w:t>
      </w:r>
      <w:bookmarkEnd w:id="7"/>
    </w:p>
    <w:p w14:paraId="1F24EF6B" w14:textId="0B0F063E" w:rsidR="00410CFD" w:rsidRPr="00D96400" w:rsidRDefault="00410CFD" w:rsidP="00410CFD">
      <w:r w:rsidRPr="00D96400">
        <w:t>Om tot de keuze te komen welk product het meest geschikt is om als ketenanalyse te gebruiken is er een analyse uitgevoerd naar waar de meeste kans van slagen om tot CO2 reductie te komen in de keten.</w:t>
      </w:r>
    </w:p>
    <w:p w14:paraId="6701A693" w14:textId="77777777" w:rsidR="00410CFD" w:rsidRPr="00D96400" w:rsidRDefault="00410CFD" w:rsidP="00410CFD"/>
    <w:tbl>
      <w:tblPr>
        <w:tblStyle w:val="Tabelraster"/>
        <w:tblW w:w="10768" w:type="dxa"/>
        <w:jc w:val="center"/>
        <w:tblLook w:val="04A0" w:firstRow="1" w:lastRow="0" w:firstColumn="1" w:lastColumn="0" w:noHBand="0" w:noVBand="1"/>
      </w:tblPr>
      <w:tblGrid>
        <w:gridCol w:w="1402"/>
        <w:gridCol w:w="425"/>
        <w:gridCol w:w="2879"/>
        <w:gridCol w:w="1294"/>
        <w:gridCol w:w="1294"/>
        <w:gridCol w:w="1406"/>
        <w:gridCol w:w="1076"/>
        <w:gridCol w:w="992"/>
      </w:tblGrid>
      <w:tr w:rsidR="00766A43" w:rsidRPr="00D96400" w14:paraId="2176B9E7" w14:textId="77777777" w:rsidTr="003776B8">
        <w:trPr>
          <w:tblHeader/>
          <w:jc w:val="center"/>
        </w:trPr>
        <w:tc>
          <w:tcPr>
            <w:tcW w:w="1402" w:type="dxa"/>
            <w:tcBorders>
              <w:bottom w:val="single" w:sz="4" w:space="0" w:color="auto"/>
            </w:tcBorders>
            <w:shd w:val="clear" w:color="auto" w:fill="BFBFBF" w:themeFill="background1" w:themeFillShade="BF"/>
          </w:tcPr>
          <w:p w14:paraId="14544BE4" w14:textId="06FE92B0" w:rsidR="00766A43" w:rsidRPr="00D96400" w:rsidRDefault="00766A43" w:rsidP="00412435">
            <w:pPr>
              <w:spacing w:line="276" w:lineRule="auto"/>
              <w:rPr>
                <w:b/>
                <w:sz w:val="18"/>
                <w:szCs w:val="18"/>
              </w:rPr>
            </w:pPr>
            <w:proofErr w:type="spellStart"/>
            <w:r w:rsidRPr="00D96400">
              <w:rPr>
                <w:b/>
                <w:sz w:val="18"/>
                <w:szCs w:val="18"/>
              </w:rPr>
              <w:t>PMC’s</w:t>
            </w:r>
            <w:proofErr w:type="spellEnd"/>
            <w:r w:rsidRPr="00D96400">
              <w:rPr>
                <w:b/>
                <w:sz w:val="18"/>
                <w:szCs w:val="18"/>
              </w:rPr>
              <w:t xml:space="preserve"> sectoren en activiteiten</w:t>
            </w:r>
          </w:p>
        </w:tc>
        <w:tc>
          <w:tcPr>
            <w:tcW w:w="3304" w:type="dxa"/>
            <w:gridSpan w:val="2"/>
            <w:tcBorders>
              <w:bottom w:val="single" w:sz="4" w:space="0" w:color="auto"/>
            </w:tcBorders>
            <w:shd w:val="clear" w:color="auto" w:fill="BFBFBF" w:themeFill="background1" w:themeFillShade="BF"/>
          </w:tcPr>
          <w:p w14:paraId="00F015D1" w14:textId="157B84AA" w:rsidR="00766A43" w:rsidRPr="00D96400" w:rsidRDefault="00766A43" w:rsidP="00412435">
            <w:pPr>
              <w:spacing w:line="276" w:lineRule="auto"/>
              <w:rPr>
                <w:b/>
                <w:sz w:val="18"/>
                <w:szCs w:val="18"/>
              </w:rPr>
            </w:pPr>
            <w:r w:rsidRPr="00D96400">
              <w:rPr>
                <w:b/>
                <w:sz w:val="18"/>
                <w:szCs w:val="18"/>
              </w:rPr>
              <w:t>Omschrijving van activiteit waarbij CO2 vrijkomt (zie H3 voor uitstoot)</w:t>
            </w:r>
          </w:p>
        </w:tc>
        <w:tc>
          <w:tcPr>
            <w:tcW w:w="2588" w:type="dxa"/>
            <w:gridSpan w:val="2"/>
            <w:tcBorders>
              <w:bottom w:val="single" w:sz="4" w:space="0" w:color="auto"/>
            </w:tcBorders>
            <w:shd w:val="clear" w:color="auto" w:fill="BFBFBF" w:themeFill="background1" w:themeFillShade="BF"/>
          </w:tcPr>
          <w:p w14:paraId="27AEC80D" w14:textId="4E074B84" w:rsidR="00766A43" w:rsidRPr="00D96400" w:rsidRDefault="00766A43" w:rsidP="00412435">
            <w:pPr>
              <w:spacing w:line="276" w:lineRule="auto"/>
              <w:rPr>
                <w:b/>
                <w:sz w:val="18"/>
                <w:szCs w:val="18"/>
              </w:rPr>
            </w:pPr>
            <w:r w:rsidRPr="00D96400">
              <w:rPr>
                <w:b/>
                <w:sz w:val="18"/>
                <w:szCs w:val="18"/>
              </w:rPr>
              <w:t>Relatief belang van CO2-belasting van de sector en invloed van de activiteiten*</w:t>
            </w:r>
          </w:p>
        </w:tc>
        <w:tc>
          <w:tcPr>
            <w:tcW w:w="1406" w:type="dxa"/>
            <w:tcBorders>
              <w:bottom w:val="single" w:sz="4" w:space="0" w:color="auto"/>
            </w:tcBorders>
            <w:shd w:val="clear" w:color="auto" w:fill="BFBFBF" w:themeFill="background1" w:themeFillShade="BF"/>
          </w:tcPr>
          <w:p w14:paraId="773D7558" w14:textId="4F90DD97" w:rsidR="00766A43" w:rsidRPr="00D96400" w:rsidRDefault="00766A43" w:rsidP="00412435">
            <w:pPr>
              <w:spacing w:line="276" w:lineRule="auto"/>
              <w:rPr>
                <w:b/>
                <w:sz w:val="18"/>
                <w:szCs w:val="18"/>
              </w:rPr>
            </w:pPr>
            <w:r w:rsidRPr="00D96400">
              <w:rPr>
                <w:b/>
                <w:sz w:val="18"/>
                <w:szCs w:val="18"/>
              </w:rPr>
              <w:t>Potentiële invloed van het bedrijf op CO2 uitstoot*</w:t>
            </w:r>
          </w:p>
        </w:tc>
        <w:tc>
          <w:tcPr>
            <w:tcW w:w="1076" w:type="dxa"/>
            <w:shd w:val="clear" w:color="auto" w:fill="BFBFBF" w:themeFill="background1" w:themeFillShade="BF"/>
          </w:tcPr>
          <w:p w14:paraId="0FBAE4A7" w14:textId="77777777" w:rsidR="00766A43" w:rsidRPr="00D96400" w:rsidRDefault="00766A43" w:rsidP="00412435">
            <w:pPr>
              <w:jc w:val="center"/>
              <w:rPr>
                <w:b/>
                <w:sz w:val="18"/>
                <w:szCs w:val="18"/>
              </w:rPr>
            </w:pPr>
            <w:r w:rsidRPr="00D96400">
              <w:rPr>
                <w:b/>
                <w:sz w:val="18"/>
                <w:szCs w:val="18"/>
              </w:rPr>
              <w:t>Score</w:t>
            </w:r>
          </w:p>
          <w:p w14:paraId="4C2F21B1" w14:textId="55CECDE8" w:rsidR="003776B8" w:rsidRPr="00D96400" w:rsidRDefault="003776B8" w:rsidP="00412435">
            <w:pPr>
              <w:jc w:val="center"/>
              <w:rPr>
                <w:sz w:val="18"/>
                <w:szCs w:val="18"/>
              </w:rPr>
            </w:pPr>
            <w:r w:rsidRPr="00D96400">
              <w:rPr>
                <w:b/>
                <w:sz w:val="18"/>
                <w:szCs w:val="18"/>
              </w:rPr>
              <w:t>(A x B x C)</w:t>
            </w:r>
          </w:p>
        </w:tc>
        <w:tc>
          <w:tcPr>
            <w:tcW w:w="992" w:type="dxa"/>
            <w:shd w:val="clear" w:color="auto" w:fill="BFBFBF" w:themeFill="background1" w:themeFillShade="BF"/>
          </w:tcPr>
          <w:p w14:paraId="7A384B85" w14:textId="77777777" w:rsidR="00766A43" w:rsidRPr="00D96400" w:rsidRDefault="00766A43" w:rsidP="00766A43">
            <w:pPr>
              <w:spacing w:line="276" w:lineRule="auto"/>
              <w:jc w:val="center"/>
              <w:rPr>
                <w:b/>
                <w:sz w:val="18"/>
                <w:szCs w:val="18"/>
              </w:rPr>
            </w:pPr>
            <w:r w:rsidRPr="00D96400">
              <w:rPr>
                <w:b/>
                <w:sz w:val="18"/>
                <w:szCs w:val="18"/>
              </w:rPr>
              <w:t>Rangorde</w:t>
            </w:r>
          </w:p>
          <w:p w14:paraId="6ACDEB7B" w14:textId="0391D3BC" w:rsidR="00766A43" w:rsidRPr="00D96400" w:rsidRDefault="00766A43" w:rsidP="00766A43">
            <w:pPr>
              <w:spacing w:line="276" w:lineRule="auto"/>
              <w:jc w:val="center"/>
              <w:rPr>
                <w:b/>
                <w:sz w:val="18"/>
                <w:szCs w:val="18"/>
              </w:rPr>
            </w:pPr>
            <w:r w:rsidRPr="00D96400">
              <w:rPr>
                <w:b/>
                <w:sz w:val="18"/>
                <w:szCs w:val="18"/>
              </w:rPr>
              <w:t>**</w:t>
            </w:r>
          </w:p>
          <w:p w14:paraId="0BCBB8A1" w14:textId="57A665F7" w:rsidR="00766A43" w:rsidRPr="00D96400" w:rsidRDefault="00766A43" w:rsidP="003D4C62">
            <w:pPr>
              <w:spacing w:line="276" w:lineRule="auto"/>
              <w:jc w:val="center"/>
              <w:rPr>
                <w:b/>
                <w:sz w:val="18"/>
                <w:szCs w:val="18"/>
              </w:rPr>
            </w:pPr>
          </w:p>
        </w:tc>
      </w:tr>
      <w:tr w:rsidR="00766A43" w:rsidRPr="00D96400" w14:paraId="5239C5C5" w14:textId="77777777" w:rsidTr="003776B8">
        <w:trPr>
          <w:jc w:val="center"/>
        </w:trPr>
        <w:tc>
          <w:tcPr>
            <w:tcW w:w="1402" w:type="dxa"/>
            <w:vMerge w:val="restart"/>
          </w:tcPr>
          <w:p w14:paraId="62C69C59" w14:textId="7FE973D4" w:rsidR="00766A43" w:rsidRPr="00D96400" w:rsidRDefault="00D96400" w:rsidP="00412435">
            <w:pPr>
              <w:spacing w:line="276" w:lineRule="auto"/>
              <w:rPr>
                <w:i/>
                <w:sz w:val="18"/>
                <w:szCs w:val="18"/>
              </w:rPr>
            </w:pPr>
            <w:r w:rsidRPr="00D96400">
              <w:rPr>
                <w:sz w:val="18"/>
                <w:szCs w:val="18"/>
              </w:rPr>
              <w:t>Het in aanneming uitvoeren van werkzaamheden in de grond-, weg-, en waterbouw.</w:t>
            </w:r>
          </w:p>
        </w:tc>
        <w:tc>
          <w:tcPr>
            <w:tcW w:w="3304" w:type="dxa"/>
            <w:gridSpan w:val="2"/>
            <w:tcBorders>
              <w:bottom w:val="single" w:sz="4" w:space="0" w:color="auto"/>
            </w:tcBorders>
            <w:shd w:val="clear" w:color="auto" w:fill="F2F2F2" w:themeFill="background1" w:themeFillShade="F2"/>
          </w:tcPr>
          <w:p w14:paraId="7868DC78" w14:textId="55B98A41" w:rsidR="00766A43" w:rsidRPr="00D96400" w:rsidRDefault="00766A43" w:rsidP="00412435">
            <w:pPr>
              <w:spacing w:line="276" w:lineRule="auto"/>
              <w:rPr>
                <w:i/>
                <w:sz w:val="18"/>
                <w:szCs w:val="18"/>
              </w:rPr>
            </w:pPr>
            <w:r w:rsidRPr="00D96400">
              <w:rPr>
                <w:i/>
                <w:sz w:val="18"/>
                <w:szCs w:val="18"/>
              </w:rPr>
              <w:t>Upstream</w:t>
            </w:r>
          </w:p>
        </w:tc>
        <w:tc>
          <w:tcPr>
            <w:tcW w:w="1294" w:type="dxa"/>
            <w:tcBorders>
              <w:bottom w:val="nil"/>
            </w:tcBorders>
            <w:shd w:val="clear" w:color="auto" w:fill="F2F2F2" w:themeFill="background1" w:themeFillShade="F2"/>
          </w:tcPr>
          <w:p w14:paraId="69DED523" w14:textId="29B4BED7" w:rsidR="00766A43" w:rsidRPr="00D96400" w:rsidRDefault="00766A43" w:rsidP="00412435">
            <w:pPr>
              <w:spacing w:line="276" w:lineRule="auto"/>
              <w:jc w:val="center"/>
              <w:rPr>
                <w:i/>
                <w:sz w:val="18"/>
                <w:szCs w:val="18"/>
              </w:rPr>
            </w:pPr>
            <w:r w:rsidRPr="00D96400">
              <w:rPr>
                <w:i/>
                <w:sz w:val="18"/>
                <w:szCs w:val="18"/>
              </w:rPr>
              <w:t>Sector (A)</w:t>
            </w:r>
          </w:p>
        </w:tc>
        <w:tc>
          <w:tcPr>
            <w:tcW w:w="1294" w:type="dxa"/>
            <w:tcBorders>
              <w:bottom w:val="nil"/>
            </w:tcBorders>
            <w:shd w:val="clear" w:color="auto" w:fill="F2F2F2" w:themeFill="background1" w:themeFillShade="F2"/>
          </w:tcPr>
          <w:p w14:paraId="24A38F23" w14:textId="030470A4" w:rsidR="00766A43" w:rsidRPr="00D96400" w:rsidRDefault="00766A43" w:rsidP="00412435">
            <w:pPr>
              <w:spacing w:line="276" w:lineRule="auto"/>
              <w:jc w:val="center"/>
              <w:rPr>
                <w:i/>
                <w:sz w:val="18"/>
                <w:szCs w:val="18"/>
              </w:rPr>
            </w:pPr>
            <w:r w:rsidRPr="00D96400">
              <w:rPr>
                <w:i/>
                <w:sz w:val="18"/>
                <w:szCs w:val="18"/>
              </w:rPr>
              <w:t>Activiteiten (B)</w:t>
            </w:r>
          </w:p>
        </w:tc>
        <w:tc>
          <w:tcPr>
            <w:tcW w:w="1406" w:type="dxa"/>
            <w:tcBorders>
              <w:bottom w:val="nil"/>
            </w:tcBorders>
            <w:shd w:val="clear" w:color="auto" w:fill="F2F2F2" w:themeFill="background1" w:themeFillShade="F2"/>
          </w:tcPr>
          <w:p w14:paraId="31B6E903" w14:textId="7947430C" w:rsidR="00766A43" w:rsidRPr="00D96400" w:rsidRDefault="00766A43" w:rsidP="00412435">
            <w:pPr>
              <w:spacing w:line="276" w:lineRule="auto"/>
              <w:jc w:val="center"/>
              <w:rPr>
                <w:i/>
                <w:sz w:val="18"/>
                <w:szCs w:val="18"/>
              </w:rPr>
            </w:pPr>
            <w:r w:rsidRPr="00D96400">
              <w:rPr>
                <w:i/>
                <w:sz w:val="18"/>
                <w:szCs w:val="18"/>
              </w:rPr>
              <w:t>(C)</w:t>
            </w:r>
          </w:p>
        </w:tc>
        <w:tc>
          <w:tcPr>
            <w:tcW w:w="1076" w:type="dxa"/>
            <w:shd w:val="clear" w:color="auto" w:fill="F2F2F2" w:themeFill="background1" w:themeFillShade="F2"/>
          </w:tcPr>
          <w:p w14:paraId="4F1075C5" w14:textId="77777777" w:rsidR="00766A43" w:rsidRPr="00D96400" w:rsidRDefault="00766A43" w:rsidP="003D4C62">
            <w:pPr>
              <w:jc w:val="center"/>
              <w:rPr>
                <w:i/>
                <w:sz w:val="18"/>
                <w:szCs w:val="18"/>
              </w:rPr>
            </w:pPr>
          </w:p>
        </w:tc>
        <w:tc>
          <w:tcPr>
            <w:tcW w:w="992" w:type="dxa"/>
            <w:shd w:val="clear" w:color="auto" w:fill="F2F2F2" w:themeFill="background1" w:themeFillShade="F2"/>
          </w:tcPr>
          <w:p w14:paraId="5115F3E0" w14:textId="2FF1171D" w:rsidR="00766A43" w:rsidRPr="00D96400" w:rsidRDefault="00766A43" w:rsidP="003D4C62">
            <w:pPr>
              <w:spacing w:line="276" w:lineRule="auto"/>
              <w:jc w:val="center"/>
              <w:rPr>
                <w:i/>
                <w:sz w:val="18"/>
                <w:szCs w:val="18"/>
              </w:rPr>
            </w:pPr>
          </w:p>
        </w:tc>
      </w:tr>
      <w:tr w:rsidR="00766A43" w:rsidRPr="00D96400" w14:paraId="0B9FDE94" w14:textId="77777777" w:rsidTr="00D96400">
        <w:trPr>
          <w:jc w:val="center"/>
        </w:trPr>
        <w:tc>
          <w:tcPr>
            <w:tcW w:w="1402" w:type="dxa"/>
            <w:vMerge/>
          </w:tcPr>
          <w:p w14:paraId="1AE51698" w14:textId="1EE65F72" w:rsidR="00766A43" w:rsidRPr="00D96400" w:rsidRDefault="00766A43" w:rsidP="00412435">
            <w:pPr>
              <w:spacing w:line="276" w:lineRule="auto"/>
              <w:rPr>
                <w:sz w:val="18"/>
                <w:szCs w:val="18"/>
              </w:rPr>
            </w:pPr>
          </w:p>
        </w:tc>
        <w:tc>
          <w:tcPr>
            <w:tcW w:w="425" w:type="dxa"/>
            <w:tcBorders>
              <w:right w:val="nil"/>
            </w:tcBorders>
          </w:tcPr>
          <w:p w14:paraId="61A08E7F" w14:textId="351E2D94" w:rsidR="00766A43" w:rsidRPr="00D96400" w:rsidRDefault="00766A43" w:rsidP="00412435">
            <w:pPr>
              <w:spacing w:line="276" w:lineRule="auto"/>
              <w:jc w:val="center"/>
              <w:rPr>
                <w:sz w:val="18"/>
                <w:szCs w:val="18"/>
              </w:rPr>
            </w:pPr>
            <w:r w:rsidRPr="00D96400">
              <w:rPr>
                <w:sz w:val="18"/>
                <w:szCs w:val="18"/>
              </w:rPr>
              <w:t>1</w:t>
            </w:r>
          </w:p>
        </w:tc>
        <w:tc>
          <w:tcPr>
            <w:tcW w:w="2879" w:type="dxa"/>
            <w:tcBorders>
              <w:left w:val="nil"/>
            </w:tcBorders>
          </w:tcPr>
          <w:p w14:paraId="678790B3" w14:textId="77777777" w:rsidR="00766A43" w:rsidRPr="00D96400" w:rsidRDefault="00766A43" w:rsidP="00412435">
            <w:pPr>
              <w:spacing w:line="276" w:lineRule="auto"/>
              <w:rPr>
                <w:sz w:val="18"/>
                <w:szCs w:val="18"/>
              </w:rPr>
            </w:pPr>
            <w:r w:rsidRPr="00D96400">
              <w:rPr>
                <w:sz w:val="18"/>
                <w:szCs w:val="18"/>
              </w:rPr>
              <w:t>Aangekochte goederen en diensten</w:t>
            </w:r>
          </w:p>
        </w:tc>
        <w:tc>
          <w:tcPr>
            <w:tcW w:w="1294" w:type="dxa"/>
            <w:shd w:val="clear" w:color="auto" w:fill="auto"/>
          </w:tcPr>
          <w:p w14:paraId="56C718D0" w14:textId="1BE2F3B9" w:rsidR="00766A43" w:rsidRPr="00D96400" w:rsidRDefault="00D96400" w:rsidP="00412435">
            <w:pPr>
              <w:spacing w:line="276" w:lineRule="auto"/>
              <w:jc w:val="center"/>
              <w:rPr>
                <w:sz w:val="18"/>
                <w:szCs w:val="18"/>
              </w:rPr>
            </w:pPr>
            <w:r>
              <w:rPr>
                <w:sz w:val="18"/>
                <w:szCs w:val="18"/>
              </w:rPr>
              <w:t>3</w:t>
            </w:r>
          </w:p>
        </w:tc>
        <w:tc>
          <w:tcPr>
            <w:tcW w:w="1294" w:type="dxa"/>
            <w:shd w:val="clear" w:color="auto" w:fill="auto"/>
          </w:tcPr>
          <w:p w14:paraId="2F0FD215" w14:textId="1F1C83C2" w:rsidR="00766A43" w:rsidRPr="00D96400" w:rsidRDefault="00A71E6E" w:rsidP="00412435">
            <w:pPr>
              <w:spacing w:line="276" w:lineRule="auto"/>
              <w:jc w:val="center"/>
              <w:rPr>
                <w:sz w:val="18"/>
                <w:szCs w:val="18"/>
              </w:rPr>
            </w:pPr>
            <w:r w:rsidRPr="00D96400">
              <w:rPr>
                <w:sz w:val="18"/>
                <w:szCs w:val="18"/>
              </w:rPr>
              <w:t>1</w:t>
            </w:r>
          </w:p>
        </w:tc>
        <w:tc>
          <w:tcPr>
            <w:tcW w:w="1406" w:type="dxa"/>
            <w:shd w:val="clear" w:color="auto" w:fill="auto"/>
          </w:tcPr>
          <w:p w14:paraId="0CFB4666" w14:textId="3BBD6C7C" w:rsidR="00766A43" w:rsidRPr="00D96400" w:rsidRDefault="00D96400" w:rsidP="00412435">
            <w:pPr>
              <w:spacing w:line="276" w:lineRule="auto"/>
              <w:jc w:val="center"/>
              <w:rPr>
                <w:sz w:val="18"/>
                <w:szCs w:val="18"/>
              </w:rPr>
            </w:pPr>
            <w:r>
              <w:rPr>
                <w:sz w:val="18"/>
                <w:szCs w:val="18"/>
              </w:rPr>
              <w:t>1</w:t>
            </w:r>
          </w:p>
        </w:tc>
        <w:tc>
          <w:tcPr>
            <w:tcW w:w="1076" w:type="dxa"/>
            <w:shd w:val="clear" w:color="auto" w:fill="auto"/>
          </w:tcPr>
          <w:p w14:paraId="481A31B0" w14:textId="723BB0F7" w:rsidR="00766A43" w:rsidRPr="00D96400" w:rsidRDefault="00D96400" w:rsidP="003D4C62">
            <w:pPr>
              <w:jc w:val="center"/>
              <w:rPr>
                <w:sz w:val="18"/>
                <w:szCs w:val="18"/>
              </w:rPr>
            </w:pPr>
            <w:r>
              <w:rPr>
                <w:sz w:val="18"/>
                <w:szCs w:val="18"/>
              </w:rPr>
              <w:t>3</w:t>
            </w:r>
          </w:p>
        </w:tc>
        <w:tc>
          <w:tcPr>
            <w:tcW w:w="992" w:type="dxa"/>
            <w:shd w:val="clear" w:color="auto" w:fill="auto"/>
          </w:tcPr>
          <w:p w14:paraId="1EC87792" w14:textId="22A63DF1" w:rsidR="00766A43" w:rsidRPr="00D96400" w:rsidRDefault="00D96400" w:rsidP="003D4C62">
            <w:pPr>
              <w:spacing w:line="276" w:lineRule="auto"/>
              <w:jc w:val="center"/>
              <w:rPr>
                <w:sz w:val="18"/>
                <w:szCs w:val="18"/>
              </w:rPr>
            </w:pPr>
            <w:r>
              <w:rPr>
                <w:sz w:val="18"/>
                <w:szCs w:val="18"/>
              </w:rPr>
              <w:t>3</w:t>
            </w:r>
          </w:p>
        </w:tc>
      </w:tr>
      <w:tr w:rsidR="00766A43" w:rsidRPr="00D96400" w14:paraId="5D18EB2C" w14:textId="77777777" w:rsidTr="003776B8">
        <w:trPr>
          <w:jc w:val="center"/>
        </w:trPr>
        <w:tc>
          <w:tcPr>
            <w:tcW w:w="1402" w:type="dxa"/>
            <w:vMerge/>
          </w:tcPr>
          <w:p w14:paraId="0F2A92A2" w14:textId="77777777" w:rsidR="00766A43" w:rsidRPr="00D96400" w:rsidRDefault="00766A43" w:rsidP="00412435">
            <w:pPr>
              <w:spacing w:line="276" w:lineRule="auto"/>
              <w:rPr>
                <w:sz w:val="18"/>
                <w:szCs w:val="18"/>
              </w:rPr>
            </w:pPr>
          </w:p>
        </w:tc>
        <w:tc>
          <w:tcPr>
            <w:tcW w:w="425" w:type="dxa"/>
            <w:tcBorders>
              <w:right w:val="nil"/>
            </w:tcBorders>
          </w:tcPr>
          <w:p w14:paraId="6F481389" w14:textId="2071325F" w:rsidR="00766A43" w:rsidRPr="00D96400" w:rsidRDefault="00766A43" w:rsidP="00412435">
            <w:pPr>
              <w:spacing w:line="276" w:lineRule="auto"/>
              <w:jc w:val="center"/>
              <w:rPr>
                <w:sz w:val="18"/>
                <w:szCs w:val="18"/>
              </w:rPr>
            </w:pPr>
            <w:r w:rsidRPr="00D96400">
              <w:rPr>
                <w:sz w:val="18"/>
                <w:szCs w:val="18"/>
              </w:rPr>
              <w:t>2</w:t>
            </w:r>
          </w:p>
        </w:tc>
        <w:tc>
          <w:tcPr>
            <w:tcW w:w="2879" w:type="dxa"/>
            <w:tcBorders>
              <w:left w:val="nil"/>
            </w:tcBorders>
          </w:tcPr>
          <w:p w14:paraId="3B2261EF" w14:textId="31A63A48" w:rsidR="00766A43" w:rsidRPr="00D96400" w:rsidRDefault="00766A43" w:rsidP="00412435">
            <w:pPr>
              <w:spacing w:line="276" w:lineRule="auto"/>
              <w:rPr>
                <w:sz w:val="18"/>
                <w:szCs w:val="18"/>
              </w:rPr>
            </w:pPr>
            <w:r w:rsidRPr="00D96400">
              <w:rPr>
                <w:sz w:val="18"/>
                <w:szCs w:val="18"/>
              </w:rPr>
              <w:t>Kapitaal goederen</w:t>
            </w:r>
          </w:p>
        </w:tc>
        <w:tc>
          <w:tcPr>
            <w:tcW w:w="1294" w:type="dxa"/>
            <w:shd w:val="clear" w:color="auto" w:fill="auto"/>
          </w:tcPr>
          <w:p w14:paraId="3113EEB5" w14:textId="3047011D" w:rsidR="00766A43" w:rsidRPr="00D96400" w:rsidRDefault="00766A43" w:rsidP="00412435">
            <w:pPr>
              <w:spacing w:line="276" w:lineRule="auto"/>
              <w:jc w:val="center"/>
              <w:rPr>
                <w:sz w:val="18"/>
                <w:szCs w:val="18"/>
              </w:rPr>
            </w:pPr>
            <w:r w:rsidRPr="00D96400">
              <w:rPr>
                <w:sz w:val="18"/>
                <w:szCs w:val="18"/>
              </w:rPr>
              <w:t>-</w:t>
            </w:r>
          </w:p>
        </w:tc>
        <w:tc>
          <w:tcPr>
            <w:tcW w:w="1294" w:type="dxa"/>
            <w:shd w:val="clear" w:color="auto" w:fill="auto"/>
          </w:tcPr>
          <w:p w14:paraId="64B96A45" w14:textId="2F028CAE" w:rsidR="00766A43" w:rsidRPr="00D96400" w:rsidRDefault="00766A43" w:rsidP="00412435">
            <w:pPr>
              <w:spacing w:line="276" w:lineRule="auto"/>
              <w:jc w:val="center"/>
              <w:rPr>
                <w:sz w:val="18"/>
                <w:szCs w:val="18"/>
              </w:rPr>
            </w:pPr>
            <w:r w:rsidRPr="00D96400">
              <w:rPr>
                <w:sz w:val="18"/>
                <w:szCs w:val="18"/>
              </w:rPr>
              <w:t>-</w:t>
            </w:r>
          </w:p>
        </w:tc>
        <w:tc>
          <w:tcPr>
            <w:tcW w:w="1406" w:type="dxa"/>
            <w:shd w:val="clear" w:color="auto" w:fill="auto"/>
          </w:tcPr>
          <w:p w14:paraId="382ED513" w14:textId="0FDBAC35" w:rsidR="00766A43" w:rsidRPr="00D96400" w:rsidRDefault="00766A43" w:rsidP="00412435">
            <w:pPr>
              <w:spacing w:line="276" w:lineRule="auto"/>
              <w:jc w:val="center"/>
              <w:rPr>
                <w:sz w:val="18"/>
                <w:szCs w:val="18"/>
              </w:rPr>
            </w:pPr>
            <w:r w:rsidRPr="00D96400">
              <w:rPr>
                <w:sz w:val="18"/>
                <w:szCs w:val="18"/>
              </w:rPr>
              <w:t>-</w:t>
            </w:r>
          </w:p>
        </w:tc>
        <w:tc>
          <w:tcPr>
            <w:tcW w:w="1076" w:type="dxa"/>
            <w:shd w:val="clear" w:color="auto" w:fill="auto"/>
          </w:tcPr>
          <w:p w14:paraId="14A43620" w14:textId="77ACD2AB" w:rsidR="00766A43" w:rsidRPr="00D96400" w:rsidRDefault="00766A43" w:rsidP="003D4C62">
            <w:pPr>
              <w:jc w:val="center"/>
              <w:rPr>
                <w:sz w:val="18"/>
                <w:szCs w:val="18"/>
              </w:rPr>
            </w:pPr>
            <w:r w:rsidRPr="00D96400">
              <w:rPr>
                <w:sz w:val="18"/>
                <w:szCs w:val="18"/>
              </w:rPr>
              <w:t>-</w:t>
            </w:r>
          </w:p>
        </w:tc>
        <w:tc>
          <w:tcPr>
            <w:tcW w:w="992" w:type="dxa"/>
            <w:shd w:val="clear" w:color="auto" w:fill="auto"/>
          </w:tcPr>
          <w:p w14:paraId="77B104FA" w14:textId="3C1AD6EB" w:rsidR="00766A43" w:rsidRPr="00D96400" w:rsidRDefault="00766A43" w:rsidP="003D4C62">
            <w:pPr>
              <w:spacing w:line="276" w:lineRule="auto"/>
              <w:jc w:val="center"/>
              <w:rPr>
                <w:sz w:val="18"/>
                <w:szCs w:val="18"/>
              </w:rPr>
            </w:pPr>
            <w:r w:rsidRPr="00D96400">
              <w:rPr>
                <w:sz w:val="18"/>
                <w:szCs w:val="18"/>
              </w:rPr>
              <w:t>-</w:t>
            </w:r>
          </w:p>
        </w:tc>
      </w:tr>
      <w:tr w:rsidR="00D96400" w:rsidRPr="00D96400" w14:paraId="6BE31BB7" w14:textId="77777777" w:rsidTr="003776B8">
        <w:trPr>
          <w:jc w:val="center"/>
        </w:trPr>
        <w:tc>
          <w:tcPr>
            <w:tcW w:w="1402" w:type="dxa"/>
            <w:vMerge/>
          </w:tcPr>
          <w:p w14:paraId="2002D6AC" w14:textId="77777777" w:rsidR="00D96400" w:rsidRPr="00D96400" w:rsidRDefault="00D96400" w:rsidP="00D96400">
            <w:pPr>
              <w:spacing w:line="276" w:lineRule="auto"/>
              <w:rPr>
                <w:sz w:val="18"/>
                <w:szCs w:val="18"/>
              </w:rPr>
            </w:pPr>
          </w:p>
        </w:tc>
        <w:tc>
          <w:tcPr>
            <w:tcW w:w="425" w:type="dxa"/>
            <w:tcBorders>
              <w:right w:val="nil"/>
            </w:tcBorders>
          </w:tcPr>
          <w:p w14:paraId="27F2363D" w14:textId="5116B8D8" w:rsidR="00D96400" w:rsidRPr="00D96400" w:rsidRDefault="00D96400" w:rsidP="00D96400">
            <w:pPr>
              <w:spacing w:line="276" w:lineRule="auto"/>
              <w:jc w:val="center"/>
              <w:rPr>
                <w:sz w:val="18"/>
                <w:szCs w:val="18"/>
              </w:rPr>
            </w:pPr>
            <w:r w:rsidRPr="00D96400">
              <w:rPr>
                <w:sz w:val="18"/>
                <w:szCs w:val="18"/>
              </w:rPr>
              <w:t>3</w:t>
            </w:r>
          </w:p>
        </w:tc>
        <w:tc>
          <w:tcPr>
            <w:tcW w:w="2879" w:type="dxa"/>
            <w:tcBorders>
              <w:left w:val="nil"/>
            </w:tcBorders>
          </w:tcPr>
          <w:p w14:paraId="12178D04" w14:textId="6FBE0464" w:rsidR="00D96400" w:rsidRPr="00D96400" w:rsidRDefault="00D96400" w:rsidP="00D96400">
            <w:pPr>
              <w:spacing w:line="276" w:lineRule="auto"/>
              <w:rPr>
                <w:sz w:val="18"/>
                <w:szCs w:val="18"/>
              </w:rPr>
            </w:pPr>
            <w:r w:rsidRPr="00D96400">
              <w:rPr>
                <w:sz w:val="18"/>
                <w:szCs w:val="18"/>
              </w:rPr>
              <w:t>Brandstof en energie gerelateerde activiteiten (niet opgenomen in scope 1 of scope 2)</w:t>
            </w:r>
          </w:p>
        </w:tc>
        <w:tc>
          <w:tcPr>
            <w:tcW w:w="1294" w:type="dxa"/>
            <w:shd w:val="clear" w:color="auto" w:fill="auto"/>
          </w:tcPr>
          <w:p w14:paraId="2C89978A" w14:textId="6E1FC894" w:rsidR="00D96400" w:rsidRPr="00D96400" w:rsidRDefault="00D96400" w:rsidP="00D96400">
            <w:pPr>
              <w:spacing w:line="276" w:lineRule="auto"/>
              <w:jc w:val="center"/>
              <w:rPr>
                <w:sz w:val="18"/>
                <w:szCs w:val="18"/>
              </w:rPr>
            </w:pPr>
            <w:r w:rsidRPr="00D96400">
              <w:rPr>
                <w:sz w:val="18"/>
                <w:szCs w:val="18"/>
              </w:rPr>
              <w:t>-</w:t>
            </w:r>
          </w:p>
        </w:tc>
        <w:tc>
          <w:tcPr>
            <w:tcW w:w="1294" w:type="dxa"/>
            <w:shd w:val="clear" w:color="auto" w:fill="auto"/>
          </w:tcPr>
          <w:p w14:paraId="35874EBE" w14:textId="548B651E" w:rsidR="00D96400" w:rsidRPr="00D96400" w:rsidRDefault="00D96400" w:rsidP="00D96400">
            <w:pPr>
              <w:spacing w:line="276" w:lineRule="auto"/>
              <w:jc w:val="center"/>
              <w:rPr>
                <w:sz w:val="18"/>
                <w:szCs w:val="18"/>
              </w:rPr>
            </w:pPr>
            <w:r w:rsidRPr="00D96400">
              <w:rPr>
                <w:sz w:val="18"/>
                <w:szCs w:val="18"/>
              </w:rPr>
              <w:t>-</w:t>
            </w:r>
          </w:p>
        </w:tc>
        <w:tc>
          <w:tcPr>
            <w:tcW w:w="1406" w:type="dxa"/>
            <w:shd w:val="clear" w:color="auto" w:fill="auto"/>
          </w:tcPr>
          <w:p w14:paraId="22E49F0D" w14:textId="29CB865C" w:rsidR="00D96400" w:rsidRPr="00D96400" w:rsidRDefault="00D96400" w:rsidP="00D96400">
            <w:pPr>
              <w:spacing w:line="276" w:lineRule="auto"/>
              <w:jc w:val="center"/>
              <w:rPr>
                <w:sz w:val="18"/>
                <w:szCs w:val="18"/>
              </w:rPr>
            </w:pPr>
            <w:r w:rsidRPr="00D96400">
              <w:rPr>
                <w:sz w:val="18"/>
                <w:szCs w:val="18"/>
              </w:rPr>
              <w:t>-</w:t>
            </w:r>
          </w:p>
        </w:tc>
        <w:tc>
          <w:tcPr>
            <w:tcW w:w="1076" w:type="dxa"/>
            <w:shd w:val="clear" w:color="auto" w:fill="auto"/>
          </w:tcPr>
          <w:p w14:paraId="02127563" w14:textId="71EA5FF5" w:rsidR="00D96400" w:rsidRPr="00D96400" w:rsidRDefault="00D96400" w:rsidP="00D96400">
            <w:pPr>
              <w:jc w:val="center"/>
              <w:rPr>
                <w:sz w:val="18"/>
                <w:szCs w:val="18"/>
              </w:rPr>
            </w:pPr>
            <w:r w:rsidRPr="00D96400">
              <w:rPr>
                <w:sz w:val="18"/>
                <w:szCs w:val="18"/>
              </w:rPr>
              <w:t>-</w:t>
            </w:r>
          </w:p>
        </w:tc>
        <w:tc>
          <w:tcPr>
            <w:tcW w:w="992" w:type="dxa"/>
            <w:shd w:val="clear" w:color="auto" w:fill="auto"/>
          </w:tcPr>
          <w:p w14:paraId="37B668E6" w14:textId="335F8414" w:rsidR="00D96400" w:rsidRPr="00D96400" w:rsidRDefault="00D96400" w:rsidP="00D96400">
            <w:pPr>
              <w:spacing w:line="276" w:lineRule="auto"/>
              <w:jc w:val="center"/>
              <w:rPr>
                <w:sz w:val="18"/>
                <w:szCs w:val="18"/>
              </w:rPr>
            </w:pPr>
            <w:r w:rsidRPr="00D96400">
              <w:rPr>
                <w:sz w:val="18"/>
                <w:szCs w:val="18"/>
              </w:rPr>
              <w:t>-</w:t>
            </w:r>
          </w:p>
        </w:tc>
      </w:tr>
      <w:tr w:rsidR="00A71E6E" w:rsidRPr="00D96400" w14:paraId="5F8BF6AF" w14:textId="77777777" w:rsidTr="00D96400">
        <w:trPr>
          <w:jc w:val="center"/>
        </w:trPr>
        <w:tc>
          <w:tcPr>
            <w:tcW w:w="1402" w:type="dxa"/>
            <w:vMerge/>
          </w:tcPr>
          <w:p w14:paraId="02AB255C" w14:textId="77777777" w:rsidR="00A71E6E" w:rsidRPr="00D96400" w:rsidRDefault="00A71E6E" w:rsidP="00A71E6E">
            <w:pPr>
              <w:spacing w:line="276" w:lineRule="auto"/>
              <w:rPr>
                <w:sz w:val="18"/>
                <w:szCs w:val="18"/>
              </w:rPr>
            </w:pPr>
          </w:p>
        </w:tc>
        <w:tc>
          <w:tcPr>
            <w:tcW w:w="425" w:type="dxa"/>
            <w:tcBorders>
              <w:right w:val="nil"/>
            </w:tcBorders>
          </w:tcPr>
          <w:p w14:paraId="7AC4E0DB" w14:textId="67BB6CEF" w:rsidR="00A71E6E" w:rsidRPr="00D96400" w:rsidRDefault="00A71E6E" w:rsidP="00A71E6E">
            <w:pPr>
              <w:spacing w:line="276" w:lineRule="auto"/>
              <w:jc w:val="center"/>
              <w:rPr>
                <w:sz w:val="18"/>
                <w:szCs w:val="18"/>
              </w:rPr>
            </w:pPr>
            <w:r w:rsidRPr="00D96400">
              <w:rPr>
                <w:sz w:val="18"/>
                <w:szCs w:val="18"/>
              </w:rPr>
              <w:t>4</w:t>
            </w:r>
          </w:p>
        </w:tc>
        <w:tc>
          <w:tcPr>
            <w:tcW w:w="2879" w:type="dxa"/>
            <w:tcBorders>
              <w:left w:val="nil"/>
            </w:tcBorders>
          </w:tcPr>
          <w:p w14:paraId="6DF338BB" w14:textId="1C4EE95D" w:rsidR="00A71E6E" w:rsidRPr="00D96400" w:rsidRDefault="00A71E6E" w:rsidP="00A71E6E">
            <w:pPr>
              <w:spacing w:line="276" w:lineRule="auto"/>
              <w:rPr>
                <w:sz w:val="18"/>
                <w:szCs w:val="18"/>
              </w:rPr>
            </w:pPr>
            <w:r w:rsidRPr="00D96400">
              <w:rPr>
                <w:sz w:val="18"/>
                <w:szCs w:val="18"/>
              </w:rPr>
              <w:t>Upstream transport en distributie</w:t>
            </w:r>
          </w:p>
        </w:tc>
        <w:tc>
          <w:tcPr>
            <w:tcW w:w="1294" w:type="dxa"/>
            <w:shd w:val="clear" w:color="auto" w:fill="auto"/>
          </w:tcPr>
          <w:p w14:paraId="26D44290" w14:textId="786782EA" w:rsidR="00A71E6E" w:rsidRPr="00D96400" w:rsidRDefault="00D96400" w:rsidP="00A71E6E">
            <w:pPr>
              <w:spacing w:line="276" w:lineRule="auto"/>
              <w:jc w:val="center"/>
              <w:rPr>
                <w:sz w:val="18"/>
                <w:szCs w:val="18"/>
              </w:rPr>
            </w:pPr>
            <w:r>
              <w:rPr>
                <w:sz w:val="18"/>
                <w:szCs w:val="18"/>
              </w:rPr>
              <w:t>4</w:t>
            </w:r>
          </w:p>
        </w:tc>
        <w:tc>
          <w:tcPr>
            <w:tcW w:w="1294" w:type="dxa"/>
            <w:shd w:val="clear" w:color="auto" w:fill="auto"/>
          </w:tcPr>
          <w:p w14:paraId="380A660E" w14:textId="119D995E" w:rsidR="00A71E6E" w:rsidRPr="00D96400" w:rsidRDefault="00D96400" w:rsidP="00A71E6E">
            <w:pPr>
              <w:spacing w:line="276" w:lineRule="auto"/>
              <w:jc w:val="center"/>
              <w:rPr>
                <w:sz w:val="18"/>
                <w:szCs w:val="18"/>
              </w:rPr>
            </w:pPr>
            <w:r>
              <w:rPr>
                <w:sz w:val="18"/>
                <w:szCs w:val="18"/>
              </w:rPr>
              <w:t>3</w:t>
            </w:r>
          </w:p>
        </w:tc>
        <w:tc>
          <w:tcPr>
            <w:tcW w:w="1406" w:type="dxa"/>
            <w:shd w:val="clear" w:color="auto" w:fill="auto"/>
          </w:tcPr>
          <w:p w14:paraId="01F9F577" w14:textId="41BBA511" w:rsidR="00A71E6E" w:rsidRPr="00D96400" w:rsidRDefault="00D96400" w:rsidP="00A71E6E">
            <w:pPr>
              <w:spacing w:line="276" w:lineRule="auto"/>
              <w:jc w:val="center"/>
              <w:rPr>
                <w:sz w:val="18"/>
                <w:szCs w:val="18"/>
              </w:rPr>
            </w:pPr>
            <w:r>
              <w:rPr>
                <w:sz w:val="18"/>
                <w:szCs w:val="18"/>
              </w:rPr>
              <w:t>2</w:t>
            </w:r>
          </w:p>
        </w:tc>
        <w:tc>
          <w:tcPr>
            <w:tcW w:w="1076" w:type="dxa"/>
            <w:shd w:val="clear" w:color="auto" w:fill="auto"/>
          </w:tcPr>
          <w:p w14:paraId="20C080C2" w14:textId="39F79558" w:rsidR="00A71E6E" w:rsidRPr="00D96400" w:rsidRDefault="00D96400" w:rsidP="00A71E6E">
            <w:pPr>
              <w:jc w:val="center"/>
              <w:rPr>
                <w:sz w:val="18"/>
                <w:szCs w:val="18"/>
              </w:rPr>
            </w:pPr>
            <w:r>
              <w:rPr>
                <w:sz w:val="18"/>
                <w:szCs w:val="18"/>
              </w:rPr>
              <w:t>24</w:t>
            </w:r>
          </w:p>
        </w:tc>
        <w:tc>
          <w:tcPr>
            <w:tcW w:w="992" w:type="dxa"/>
            <w:shd w:val="clear" w:color="auto" w:fill="auto"/>
          </w:tcPr>
          <w:p w14:paraId="6D4A898E" w14:textId="551F60AA" w:rsidR="00A71E6E" w:rsidRPr="00D96400" w:rsidRDefault="00D96400" w:rsidP="00A71E6E">
            <w:pPr>
              <w:spacing w:line="276" w:lineRule="auto"/>
              <w:jc w:val="center"/>
              <w:rPr>
                <w:sz w:val="18"/>
                <w:szCs w:val="18"/>
              </w:rPr>
            </w:pPr>
            <w:r>
              <w:rPr>
                <w:sz w:val="18"/>
                <w:szCs w:val="18"/>
              </w:rPr>
              <w:t>1</w:t>
            </w:r>
          </w:p>
        </w:tc>
      </w:tr>
      <w:tr w:rsidR="00A71E6E" w:rsidRPr="00D96400" w14:paraId="08C1E86E" w14:textId="77777777" w:rsidTr="00D96400">
        <w:trPr>
          <w:jc w:val="center"/>
        </w:trPr>
        <w:tc>
          <w:tcPr>
            <w:tcW w:w="1402" w:type="dxa"/>
            <w:vMerge/>
          </w:tcPr>
          <w:p w14:paraId="17839049" w14:textId="77777777" w:rsidR="00A71E6E" w:rsidRPr="00D96400" w:rsidRDefault="00A71E6E" w:rsidP="00A71E6E">
            <w:pPr>
              <w:spacing w:line="276" w:lineRule="auto"/>
              <w:rPr>
                <w:sz w:val="18"/>
                <w:szCs w:val="18"/>
              </w:rPr>
            </w:pPr>
          </w:p>
        </w:tc>
        <w:tc>
          <w:tcPr>
            <w:tcW w:w="425" w:type="dxa"/>
            <w:tcBorders>
              <w:right w:val="nil"/>
            </w:tcBorders>
          </w:tcPr>
          <w:p w14:paraId="2D430BE6" w14:textId="1A5B54C7" w:rsidR="00A71E6E" w:rsidRPr="00D96400" w:rsidRDefault="00A71E6E" w:rsidP="00A71E6E">
            <w:pPr>
              <w:spacing w:line="276" w:lineRule="auto"/>
              <w:jc w:val="center"/>
              <w:rPr>
                <w:sz w:val="18"/>
                <w:szCs w:val="18"/>
              </w:rPr>
            </w:pPr>
            <w:r w:rsidRPr="00D96400">
              <w:rPr>
                <w:sz w:val="18"/>
                <w:szCs w:val="18"/>
              </w:rPr>
              <w:t>5</w:t>
            </w:r>
          </w:p>
        </w:tc>
        <w:tc>
          <w:tcPr>
            <w:tcW w:w="2879" w:type="dxa"/>
            <w:tcBorders>
              <w:left w:val="nil"/>
            </w:tcBorders>
          </w:tcPr>
          <w:p w14:paraId="002C460F" w14:textId="3CD00E6A" w:rsidR="00A71E6E" w:rsidRPr="00D96400" w:rsidRDefault="00A71E6E" w:rsidP="00A71E6E">
            <w:pPr>
              <w:spacing w:line="276" w:lineRule="auto"/>
              <w:rPr>
                <w:sz w:val="18"/>
                <w:szCs w:val="18"/>
              </w:rPr>
            </w:pPr>
            <w:r w:rsidRPr="00D96400">
              <w:rPr>
                <w:sz w:val="18"/>
                <w:szCs w:val="18"/>
              </w:rPr>
              <w:t>Productieafval</w:t>
            </w:r>
          </w:p>
        </w:tc>
        <w:tc>
          <w:tcPr>
            <w:tcW w:w="1294" w:type="dxa"/>
            <w:shd w:val="clear" w:color="auto" w:fill="auto"/>
          </w:tcPr>
          <w:p w14:paraId="3D885636" w14:textId="59060BF0" w:rsidR="00A71E6E" w:rsidRPr="00D96400" w:rsidRDefault="00A71E6E" w:rsidP="00A71E6E">
            <w:pPr>
              <w:spacing w:line="276" w:lineRule="auto"/>
              <w:jc w:val="center"/>
              <w:rPr>
                <w:sz w:val="18"/>
                <w:szCs w:val="18"/>
              </w:rPr>
            </w:pPr>
            <w:r w:rsidRPr="00D96400">
              <w:rPr>
                <w:sz w:val="18"/>
                <w:szCs w:val="18"/>
              </w:rPr>
              <w:t>1</w:t>
            </w:r>
          </w:p>
        </w:tc>
        <w:tc>
          <w:tcPr>
            <w:tcW w:w="1294" w:type="dxa"/>
            <w:shd w:val="clear" w:color="auto" w:fill="auto"/>
          </w:tcPr>
          <w:p w14:paraId="32602844" w14:textId="4C9083FF" w:rsidR="00A71E6E" w:rsidRPr="00D96400" w:rsidRDefault="00A71E6E" w:rsidP="00A71E6E">
            <w:pPr>
              <w:spacing w:line="276" w:lineRule="auto"/>
              <w:jc w:val="center"/>
              <w:rPr>
                <w:sz w:val="18"/>
                <w:szCs w:val="18"/>
              </w:rPr>
            </w:pPr>
            <w:r w:rsidRPr="00D96400">
              <w:rPr>
                <w:sz w:val="18"/>
                <w:szCs w:val="18"/>
              </w:rPr>
              <w:t>1</w:t>
            </w:r>
          </w:p>
        </w:tc>
        <w:tc>
          <w:tcPr>
            <w:tcW w:w="1406" w:type="dxa"/>
            <w:shd w:val="clear" w:color="auto" w:fill="auto"/>
          </w:tcPr>
          <w:p w14:paraId="2DF587FB" w14:textId="46792E99" w:rsidR="00A71E6E" w:rsidRPr="00D96400" w:rsidRDefault="00D96400" w:rsidP="00A71E6E">
            <w:pPr>
              <w:spacing w:line="276" w:lineRule="auto"/>
              <w:jc w:val="center"/>
              <w:rPr>
                <w:sz w:val="18"/>
                <w:szCs w:val="18"/>
              </w:rPr>
            </w:pPr>
            <w:r>
              <w:rPr>
                <w:sz w:val="18"/>
                <w:szCs w:val="18"/>
              </w:rPr>
              <w:t>1</w:t>
            </w:r>
          </w:p>
        </w:tc>
        <w:tc>
          <w:tcPr>
            <w:tcW w:w="1076" w:type="dxa"/>
            <w:shd w:val="clear" w:color="auto" w:fill="auto"/>
          </w:tcPr>
          <w:p w14:paraId="5841808B" w14:textId="64F52794" w:rsidR="00A71E6E" w:rsidRPr="00D96400" w:rsidRDefault="00D96400" w:rsidP="00A71E6E">
            <w:pPr>
              <w:jc w:val="center"/>
              <w:rPr>
                <w:sz w:val="18"/>
                <w:szCs w:val="18"/>
              </w:rPr>
            </w:pPr>
            <w:r>
              <w:rPr>
                <w:sz w:val="18"/>
                <w:szCs w:val="18"/>
              </w:rPr>
              <w:t>1</w:t>
            </w:r>
          </w:p>
        </w:tc>
        <w:tc>
          <w:tcPr>
            <w:tcW w:w="992" w:type="dxa"/>
            <w:shd w:val="clear" w:color="auto" w:fill="auto"/>
          </w:tcPr>
          <w:p w14:paraId="3F6E6267" w14:textId="5EA2FA53" w:rsidR="00A71E6E" w:rsidRPr="00D96400" w:rsidRDefault="00D96400" w:rsidP="00A71E6E">
            <w:pPr>
              <w:spacing w:line="276" w:lineRule="auto"/>
              <w:jc w:val="center"/>
              <w:rPr>
                <w:sz w:val="18"/>
                <w:szCs w:val="18"/>
              </w:rPr>
            </w:pPr>
            <w:r>
              <w:rPr>
                <w:sz w:val="18"/>
                <w:szCs w:val="18"/>
              </w:rPr>
              <w:t>4</w:t>
            </w:r>
          </w:p>
        </w:tc>
      </w:tr>
      <w:tr w:rsidR="00A71E6E" w:rsidRPr="00D96400" w14:paraId="1F57285B" w14:textId="77777777" w:rsidTr="00D96400">
        <w:trPr>
          <w:jc w:val="center"/>
        </w:trPr>
        <w:tc>
          <w:tcPr>
            <w:tcW w:w="1402" w:type="dxa"/>
            <w:vMerge/>
          </w:tcPr>
          <w:p w14:paraId="11FE83BA" w14:textId="77777777" w:rsidR="00A71E6E" w:rsidRPr="00D96400" w:rsidRDefault="00A71E6E" w:rsidP="00A71E6E">
            <w:pPr>
              <w:spacing w:line="276" w:lineRule="auto"/>
              <w:rPr>
                <w:sz w:val="18"/>
                <w:szCs w:val="18"/>
              </w:rPr>
            </w:pPr>
          </w:p>
        </w:tc>
        <w:tc>
          <w:tcPr>
            <w:tcW w:w="425" w:type="dxa"/>
            <w:tcBorders>
              <w:right w:val="nil"/>
            </w:tcBorders>
          </w:tcPr>
          <w:p w14:paraId="6C104026" w14:textId="14C5D439" w:rsidR="00A71E6E" w:rsidRPr="00D96400" w:rsidRDefault="00A71E6E" w:rsidP="00A71E6E">
            <w:pPr>
              <w:spacing w:line="276" w:lineRule="auto"/>
              <w:jc w:val="center"/>
              <w:rPr>
                <w:sz w:val="18"/>
                <w:szCs w:val="18"/>
              </w:rPr>
            </w:pPr>
            <w:r w:rsidRPr="00D96400">
              <w:rPr>
                <w:sz w:val="18"/>
                <w:szCs w:val="18"/>
              </w:rPr>
              <w:t>6</w:t>
            </w:r>
          </w:p>
        </w:tc>
        <w:tc>
          <w:tcPr>
            <w:tcW w:w="2879" w:type="dxa"/>
            <w:tcBorders>
              <w:left w:val="nil"/>
            </w:tcBorders>
          </w:tcPr>
          <w:p w14:paraId="4679D9E1" w14:textId="046B4EC6" w:rsidR="00A71E6E" w:rsidRPr="00D96400" w:rsidRDefault="00A71E6E" w:rsidP="00A71E6E">
            <w:pPr>
              <w:spacing w:line="276" w:lineRule="auto"/>
              <w:rPr>
                <w:sz w:val="18"/>
                <w:szCs w:val="18"/>
              </w:rPr>
            </w:pPr>
            <w:r w:rsidRPr="00D96400">
              <w:rPr>
                <w:sz w:val="18"/>
                <w:szCs w:val="18"/>
              </w:rPr>
              <w:t>Personenvervoer onder werktijd (valt conform SKAO in scope 2)</w:t>
            </w:r>
          </w:p>
        </w:tc>
        <w:tc>
          <w:tcPr>
            <w:tcW w:w="1294" w:type="dxa"/>
            <w:shd w:val="clear" w:color="auto" w:fill="auto"/>
          </w:tcPr>
          <w:p w14:paraId="4BA8721E" w14:textId="70E5F9A4" w:rsidR="00A71E6E" w:rsidRPr="00D96400" w:rsidRDefault="00A71E6E" w:rsidP="00A71E6E">
            <w:pPr>
              <w:spacing w:line="276" w:lineRule="auto"/>
              <w:jc w:val="center"/>
              <w:rPr>
                <w:sz w:val="18"/>
                <w:szCs w:val="18"/>
              </w:rPr>
            </w:pPr>
            <w:r w:rsidRPr="00D96400">
              <w:rPr>
                <w:sz w:val="18"/>
                <w:szCs w:val="18"/>
              </w:rPr>
              <w:t>-</w:t>
            </w:r>
          </w:p>
        </w:tc>
        <w:tc>
          <w:tcPr>
            <w:tcW w:w="1294" w:type="dxa"/>
            <w:shd w:val="clear" w:color="auto" w:fill="auto"/>
          </w:tcPr>
          <w:p w14:paraId="182EB986" w14:textId="41A70A5B" w:rsidR="00A71E6E" w:rsidRPr="00D96400" w:rsidRDefault="00A71E6E" w:rsidP="00A71E6E">
            <w:pPr>
              <w:spacing w:line="276" w:lineRule="auto"/>
              <w:jc w:val="center"/>
              <w:rPr>
                <w:sz w:val="18"/>
                <w:szCs w:val="18"/>
              </w:rPr>
            </w:pPr>
            <w:r w:rsidRPr="00D96400">
              <w:rPr>
                <w:sz w:val="18"/>
                <w:szCs w:val="18"/>
              </w:rPr>
              <w:t>-</w:t>
            </w:r>
          </w:p>
        </w:tc>
        <w:tc>
          <w:tcPr>
            <w:tcW w:w="1406" w:type="dxa"/>
            <w:shd w:val="clear" w:color="auto" w:fill="auto"/>
          </w:tcPr>
          <w:p w14:paraId="53900E3D" w14:textId="40450F9D" w:rsidR="00A71E6E" w:rsidRPr="00D96400" w:rsidRDefault="00A71E6E" w:rsidP="00A71E6E">
            <w:pPr>
              <w:spacing w:line="276" w:lineRule="auto"/>
              <w:jc w:val="center"/>
              <w:rPr>
                <w:sz w:val="18"/>
                <w:szCs w:val="18"/>
              </w:rPr>
            </w:pPr>
            <w:r w:rsidRPr="00D96400">
              <w:rPr>
                <w:sz w:val="18"/>
                <w:szCs w:val="18"/>
              </w:rPr>
              <w:t>-</w:t>
            </w:r>
          </w:p>
        </w:tc>
        <w:tc>
          <w:tcPr>
            <w:tcW w:w="1076" w:type="dxa"/>
            <w:shd w:val="clear" w:color="auto" w:fill="auto"/>
          </w:tcPr>
          <w:p w14:paraId="158B9AFB" w14:textId="224979CB" w:rsidR="00A71E6E" w:rsidRPr="00D96400" w:rsidRDefault="00A71E6E" w:rsidP="00A71E6E">
            <w:pPr>
              <w:jc w:val="center"/>
              <w:rPr>
                <w:sz w:val="18"/>
                <w:szCs w:val="18"/>
              </w:rPr>
            </w:pPr>
            <w:r w:rsidRPr="00D96400">
              <w:rPr>
                <w:sz w:val="18"/>
                <w:szCs w:val="18"/>
              </w:rPr>
              <w:t>-</w:t>
            </w:r>
          </w:p>
        </w:tc>
        <w:tc>
          <w:tcPr>
            <w:tcW w:w="992" w:type="dxa"/>
            <w:shd w:val="clear" w:color="auto" w:fill="auto"/>
          </w:tcPr>
          <w:p w14:paraId="587F1BB7" w14:textId="77D22F7E" w:rsidR="00A71E6E" w:rsidRPr="00D96400" w:rsidRDefault="00A71E6E" w:rsidP="00A71E6E">
            <w:pPr>
              <w:spacing w:line="276" w:lineRule="auto"/>
              <w:jc w:val="center"/>
              <w:rPr>
                <w:sz w:val="18"/>
                <w:szCs w:val="18"/>
              </w:rPr>
            </w:pPr>
            <w:r w:rsidRPr="00D96400">
              <w:rPr>
                <w:sz w:val="18"/>
                <w:szCs w:val="18"/>
              </w:rPr>
              <w:t>-</w:t>
            </w:r>
          </w:p>
        </w:tc>
      </w:tr>
      <w:tr w:rsidR="00A71E6E" w:rsidRPr="00D96400" w14:paraId="69E0A08C" w14:textId="77777777" w:rsidTr="003776B8">
        <w:trPr>
          <w:jc w:val="center"/>
        </w:trPr>
        <w:tc>
          <w:tcPr>
            <w:tcW w:w="1402" w:type="dxa"/>
            <w:vMerge/>
            <w:tcBorders>
              <w:bottom w:val="nil"/>
            </w:tcBorders>
          </w:tcPr>
          <w:p w14:paraId="6DB3DB9C" w14:textId="77777777" w:rsidR="00A71E6E" w:rsidRPr="00D96400" w:rsidRDefault="00A71E6E" w:rsidP="00A71E6E">
            <w:pPr>
              <w:spacing w:line="276" w:lineRule="auto"/>
              <w:rPr>
                <w:sz w:val="18"/>
                <w:szCs w:val="18"/>
              </w:rPr>
            </w:pPr>
          </w:p>
        </w:tc>
        <w:tc>
          <w:tcPr>
            <w:tcW w:w="425" w:type="dxa"/>
            <w:tcBorders>
              <w:right w:val="nil"/>
            </w:tcBorders>
          </w:tcPr>
          <w:p w14:paraId="27FCE47D" w14:textId="23B9C105" w:rsidR="00A71E6E" w:rsidRPr="00D96400" w:rsidRDefault="00A71E6E" w:rsidP="00A71E6E">
            <w:pPr>
              <w:spacing w:line="276" w:lineRule="auto"/>
              <w:jc w:val="center"/>
              <w:rPr>
                <w:sz w:val="18"/>
                <w:szCs w:val="18"/>
              </w:rPr>
            </w:pPr>
            <w:r w:rsidRPr="00D96400">
              <w:rPr>
                <w:sz w:val="18"/>
                <w:szCs w:val="18"/>
              </w:rPr>
              <w:t>7</w:t>
            </w:r>
          </w:p>
        </w:tc>
        <w:tc>
          <w:tcPr>
            <w:tcW w:w="2879" w:type="dxa"/>
            <w:tcBorders>
              <w:left w:val="nil"/>
            </w:tcBorders>
          </w:tcPr>
          <w:p w14:paraId="2BD649C8" w14:textId="282EB469" w:rsidR="00A71E6E" w:rsidRPr="00D96400" w:rsidRDefault="00A71E6E" w:rsidP="00A71E6E">
            <w:pPr>
              <w:spacing w:line="276" w:lineRule="auto"/>
              <w:rPr>
                <w:sz w:val="18"/>
                <w:szCs w:val="18"/>
              </w:rPr>
            </w:pPr>
            <w:r w:rsidRPr="00D96400">
              <w:rPr>
                <w:sz w:val="18"/>
                <w:szCs w:val="18"/>
              </w:rPr>
              <w:t>Woon-werkverkeer</w:t>
            </w:r>
          </w:p>
        </w:tc>
        <w:tc>
          <w:tcPr>
            <w:tcW w:w="1294" w:type="dxa"/>
          </w:tcPr>
          <w:p w14:paraId="56D9443D" w14:textId="6F76A8F0" w:rsidR="00A71E6E" w:rsidRPr="00D96400" w:rsidRDefault="00A71E6E" w:rsidP="00A71E6E">
            <w:pPr>
              <w:spacing w:line="276" w:lineRule="auto"/>
              <w:jc w:val="center"/>
              <w:rPr>
                <w:sz w:val="18"/>
                <w:szCs w:val="18"/>
              </w:rPr>
            </w:pPr>
            <w:r w:rsidRPr="00D96400">
              <w:rPr>
                <w:sz w:val="18"/>
                <w:szCs w:val="18"/>
              </w:rPr>
              <w:t>-</w:t>
            </w:r>
          </w:p>
        </w:tc>
        <w:tc>
          <w:tcPr>
            <w:tcW w:w="1294" w:type="dxa"/>
          </w:tcPr>
          <w:p w14:paraId="681BB60B" w14:textId="363BEF48" w:rsidR="00A71E6E" w:rsidRPr="00D96400" w:rsidRDefault="00A71E6E" w:rsidP="00A71E6E">
            <w:pPr>
              <w:spacing w:line="276" w:lineRule="auto"/>
              <w:jc w:val="center"/>
              <w:rPr>
                <w:sz w:val="18"/>
                <w:szCs w:val="18"/>
              </w:rPr>
            </w:pPr>
            <w:r w:rsidRPr="00D96400">
              <w:rPr>
                <w:sz w:val="18"/>
                <w:szCs w:val="18"/>
              </w:rPr>
              <w:t>-</w:t>
            </w:r>
          </w:p>
        </w:tc>
        <w:tc>
          <w:tcPr>
            <w:tcW w:w="1406" w:type="dxa"/>
          </w:tcPr>
          <w:p w14:paraId="0A23B4B1" w14:textId="34576CCE" w:rsidR="00A71E6E" w:rsidRPr="00D96400" w:rsidRDefault="00A71E6E" w:rsidP="00A71E6E">
            <w:pPr>
              <w:spacing w:line="276" w:lineRule="auto"/>
              <w:jc w:val="center"/>
              <w:rPr>
                <w:sz w:val="18"/>
                <w:szCs w:val="18"/>
              </w:rPr>
            </w:pPr>
            <w:r w:rsidRPr="00D96400">
              <w:rPr>
                <w:sz w:val="18"/>
                <w:szCs w:val="18"/>
              </w:rPr>
              <w:t>-</w:t>
            </w:r>
          </w:p>
        </w:tc>
        <w:tc>
          <w:tcPr>
            <w:tcW w:w="1076" w:type="dxa"/>
            <w:shd w:val="clear" w:color="auto" w:fill="auto"/>
          </w:tcPr>
          <w:p w14:paraId="4336B1E0" w14:textId="025A12FC" w:rsidR="00A71E6E" w:rsidRPr="00D96400" w:rsidRDefault="00A71E6E" w:rsidP="00A71E6E">
            <w:pPr>
              <w:jc w:val="center"/>
              <w:rPr>
                <w:sz w:val="18"/>
                <w:szCs w:val="18"/>
              </w:rPr>
            </w:pPr>
            <w:r w:rsidRPr="00D96400">
              <w:rPr>
                <w:sz w:val="18"/>
                <w:szCs w:val="18"/>
              </w:rPr>
              <w:t>-</w:t>
            </w:r>
          </w:p>
        </w:tc>
        <w:tc>
          <w:tcPr>
            <w:tcW w:w="992" w:type="dxa"/>
            <w:shd w:val="clear" w:color="auto" w:fill="auto"/>
          </w:tcPr>
          <w:p w14:paraId="16D7A4F9" w14:textId="5574F14E" w:rsidR="00A71E6E" w:rsidRPr="00D96400" w:rsidRDefault="00A71E6E" w:rsidP="00A71E6E">
            <w:pPr>
              <w:spacing w:line="276" w:lineRule="auto"/>
              <w:jc w:val="center"/>
              <w:rPr>
                <w:sz w:val="18"/>
                <w:szCs w:val="18"/>
              </w:rPr>
            </w:pPr>
            <w:r w:rsidRPr="00D96400">
              <w:rPr>
                <w:sz w:val="18"/>
                <w:szCs w:val="18"/>
              </w:rPr>
              <w:t>-</w:t>
            </w:r>
          </w:p>
        </w:tc>
      </w:tr>
      <w:tr w:rsidR="00A71E6E" w:rsidRPr="00D96400" w14:paraId="394E347C" w14:textId="77777777" w:rsidTr="003776B8">
        <w:trPr>
          <w:jc w:val="center"/>
        </w:trPr>
        <w:tc>
          <w:tcPr>
            <w:tcW w:w="1402" w:type="dxa"/>
            <w:tcBorders>
              <w:top w:val="nil"/>
              <w:bottom w:val="nil"/>
            </w:tcBorders>
          </w:tcPr>
          <w:p w14:paraId="697C0E9F" w14:textId="77777777" w:rsidR="00A71E6E" w:rsidRPr="00D96400" w:rsidRDefault="00A71E6E" w:rsidP="00A71E6E">
            <w:pPr>
              <w:spacing w:line="276" w:lineRule="auto"/>
              <w:rPr>
                <w:sz w:val="18"/>
                <w:szCs w:val="18"/>
              </w:rPr>
            </w:pPr>
          </w:p>
        </w:tc>
        <w:tc>
          <w:tcPr>
            <w:tcW w:w="425" w:type="dxa"/>
            <w:tcBorders>
              <w:right w:val="nil"/>
            </w:tcBorders>
          </w:tcPr>
          <w:p w14:paraId="5749DBF4" w14:textId="22CBE096" w:rsidR="00A71E6E" w:rsidRPr="00D96400" w:rsidRDefault="00A71E6E" w:rsidP="00A71E6E">
            <w:pPr>
              <w:spacing w:line="276" w:lineRule="auto"/>
              <w:jc w:val="center"/>
              <w:rPr>
                <w:sz w:val="18"/>
                <w:szCs w:val="18"/>
              </w:rPr>
            </w:pPr>
            <w:r w:rsidRPr="00D96400">
              <w:rPr>
                <w:sz w:val="18"/>
                <w:szCs w:val="18"/>
              </w:rPr>
              <w:t>8</w:t>
            </w:r>
          </w:p>
        </w:tc>
        <w:tc>
          <w:tcPr>
            <w:tcW w:w="2879" w:type="dxa"/>
            <w:tcBorders>
              <w:left w:val="nil"/>
            </w:tcBorders>
          </w:tcPr>
          <w:p w14:paraId="4787F296" w14:textId="02739610" w:rsidR="00A71E6E" w:rsidRPr="00D96400" w:rsidRDefault="00A71E6E" w:rsidP="00A71E6E">
            <w:pPr>
              <w:spacing w:line="276" w:lineRule="auto"/>
              <w:rPr>
                <w:sz w:val="18"/>
                <w:szCs w:val="18"/>
              </w:rPr>
            </w:pPr>
            <w:r w:rsidRPr="00D96400">
              <w:rPr>
                <w:sz w:val="18"/>
                <w:szCs w:val="18"/>
              </w:rPr>
              <w:t>Upstream geleasete activa</w:t>
            </w:r>
          </w:p>
        </w:tc>
        <w:tc>
          <w:tcPr>
            <w:tcW w:w="1294" w:type="dxa"/>
            <w:shd w:val="clear" w:color="auto" w:fill="auto"/>
          </w:tcPr>
          <w:p w14:paraId="45724141" w14:textId="155A2E63" w:rsidR="00A71E6E" w:rsidRPr="00D96400" w:rsidRDefault="00A71E6E" w:rsidP="00A71E6E">
            <w:pPr>
              <w:spacing w:line="276" w:lineRule="auto"/>
              <w:jc w:val="center"/>
              <w:rPr>
                <w:sz w:val="18"/>
                <w:szCs w:val="18"/>
              </w:rPr>
            </w:pPr>
            <w:r w:rsidRPr="00D96400">
              <w:rPr>
                <w:sz w:val="18"/>
                <w:szCs w:val="18"/>
              </w:rPr>
              <w:t>-</w:t>
            </w:r>
          </w:p>
        </w:tc>
        <w:tc>
          <w:tcPr>
            <w:tcW w:w="1294" w:type="dxa"/>
            <w:shd w:val="clear" w:color="auto" w:fill="auto"/>
          </w:tcPr>
          <w:p w14:paraId="4B3E2F82" w14:textId="3FB2382C" w:rsidR="00A71E6E" w:rsidRPr="00D96400" w:rsidRDefault="00A71E6E" w:rsidP="00A71E6E">
            <w:pPr>
              <w:spacing w:line="276" w:lineRule="auto"/>
              <w:jc w:val="center"/>
              <w:rPr>
                <w:sz w:val="18"/>
                <w:szCs w:val="18"/>
              </w:rPr>
            </w:pPr>
            <w:r w:rsidRPr="00D96400">
              <w:rPr>
                <w:sz w:val="18"/>
                <w:szCs w:val="18"/>
              </w:rPr>
              <w:t>-</w:t>
            </w:r>
          </w:p>
        </w:tc>
        <w:tc>
          <w:tcPr>
            <w:tcW w:w="1406" w:type="dxa"/>
            <w:shd w:val="clear" w:color="auto" w:fill="auto"/>
          </w:tcPr>
          <w:p w14:paraId="2BB16059" w14:textId="3321D045" w:rsidR="00A71E6E" w:rsidRPr="00D96400" w:rsidRDefault="00A71E6E" w:rsidP="00A71E6E">
            <w:pPr>
              <w:spacing w:line="276" w:lineRule="auto"/>
              <w:jc w:val="center"/>
              <w:rPr>
                <w:sz w:val="18"/>
                <w:szCs w:val="18"/>
              </w:rPr>
            </w:pPr>
            <w:r w:rsidRPr="00D96400">
              <w:rPr>
                <w:sz w:val="18"/>
                <w:szCs w:val="18"/>
              </w:rPr>
              <w:t>-</w:t>
            </w:r>
          </w:p>
        </w:tc>
        <w:tc>
          <w:tcPr>
            <w:tcW w:w="1076" w:type="dxa"/>
            <w:shd w:val="clear" w:color="auto" w:fill="auto"/>
          </w:tcPr>
          <w:p w14:paraId="09E24ADB" w14:textId="333FAA34" w:rsidR="00A71E6E" w:rsidRPr="00D96400" w:rsidRDefault="00A71E6E" w:rsidP="00A71E6E">
            <w:pPr>
              <w:jc w:val="center"/>
              <w:rPr>
                <w:sz w:val="18"/>
                <w:szCs w:val="18"/>
              </w:rPr>
            </w:pPr>
            <w:r w:rsidRPr="00D96400">
              <w:rPr>
                <w:sz w:val="18"/>
                <w:szCs w:val="18"/>
              </w:rPr>
              <w:t>-</w:t>
            </w:r>
          </w:p>
        </w:tc>
        <w:tc>
          <w:tcPr>
            <w:tcW w:w="992" w:type="dxa"/>
            <w:shd w:val="clear" w:color="auto" w:fill="auto"/>
          </w:tcPr>
          <w:p w14:paraId="4ECA132B" w14:textId="2C715D24" w:rsidR="00A71E6E" w:rsidRPr="00D96400" w:rsidRDefault="00A71E6E" w:rsidP="00A71E6E">
            <w:pPr>
              <w:spacing w:line="276" w:lineRule="auto"/>
              <w:jc w:val="center"/>
              <w:rPr>
                <w:sz w:val="18"/>
                <w:szCs w:val="18"/>
              </w:rPr>
            </w:pPr>
            <w:r w:rsidRPr="00D96400">
              <w:rPr>
                <w:sz w:val="18"/>
                <w:szCs w:val="18"/>
              </w:rPr>
              <w:t>-</w:t>
            </w:r>
          </w:p>
        </w:tc>
      </w:tr>
      <w:tr w:rsidR="00A71E6E" w:rsidRPr="00D96400" w14:paraId="66578D22" w14:textId="77777777" w:rsidTr="003776B8">
        <w:trPr>
          <w:jc w:val="center"/>
        </w:trPr>
        <w:tc>
          <w:tcPr>
            <w:tcW w:w="1402" w:type="dxa"/>
            <w:tcBorders>
              <w:top w:val="nil"/>
              <w:bottom w:val="nil"/>
            </w:tcBorders>
          </w:tcPr>
          <w:p w14:paraId="7659C6B0" w14:textId="77777777" w:rsidR="00A71E6E" w:rsidRPr="00D96400" w:rsidRDefault="00A71E6E" w:rsidP="00A71E6E">
            <w:pPr>
              <w:rPr>
                <w:sz w:val="18"/>
                <w:szCs w:val="18"/>
              </w:rPr>
            </w:pPr>
          </w:p>
        </w:tc>
        <w:tc>
          <w:tcPr>
            <w:tcW w:w="3304" w:type="dxa"/>
            <w:gridSpan w:val="2"/>
            <w:shd w:val="clear" w:color="auto" w:fill="F2F2F2" w:themeFill="background1" w:themeFillShade="F2"/>
          </w:tcPr>
          <w:p w14:paraId="3F393918" w14:textId="0B6D68E7" w:rsidR="00A71E6E" w:rsidRPr="00D96400" w:rsidRDefault="00A71E6E" w:rsidP="00A71E6E">
            <w:pPr>
              <w:rPr>
                <w:sz w:val="18"/>
                <w:szCs w:val="18"/>
              </w:rPr>
            </w:pPr>
            <w:r w:rsidRPr="00D96400">
              <w:rPr>
                <w:i/>
                <w:sz w:val="18"/>
                <w:szCs w:val="18"/>
              </w:rPr>
              <w:t>Downstream</w:t>
            </w:r>
          </w:p>
        </w:tc>
        <w:tc>
          <w:tcPr>
            <w:tcW w:w="1294" w:type="dxa"/>
            <w:shd w:val="clear" w:color="auto" w:fill="F2F2F2" w:themeFill="background1" w:themeFillShade="F2"/>
          </w:tcPr>
          <w:p w14:paraId="1150284F" w14:textId="60C39369" w:rsidR="00A71E6E" w:rsidRPr="00D96400" w:rsidRDefault="00A71E6E" w:rsidP="00A71E6E">
            <w:pPr>
              <w:jc w:val="center"/>
              <w:rPr>
                <w:sz w:val="18"/>
                <w:szCs w:val="18"/>
              </w:rPr>
            </w:pPr>
            <w:r w:rsidRPr="00D96400">
              <w:rPr>
                <w:i/>
                <w:sz w:val="18"/>
                <w:szCs w:val="18"/>
              </w:rPr>
              <w:t>Sector (A)</w:t>
            </w:r>
          </w:p>
        </w:tc>
        <w:tc>
          <w:tcPr>
            <w:tcW w:w="1294" w:type="dxa"/>
            <w:shd w:val="clear" w:color="auto" w:fill="F2F2F2" w:themeFill="background1" w:themeFillShade="F2"/>
          </w:tcPr>
          <w:p w14:paraId="4B272954" w14:textId="3F7FC1EC" w:rsidR="00A71E6E" w:rsidRPr="00D96400" w:rsidRDefault="00A71E6E" w:rsidP="00A71E6E">
            <w:pPr>
              <w:jc w:val="center"/>
              <w:rPr>
                <w:sz w:val="18"/>
                <w:szCs w:val="18"/>
              </w:rPr>
            </w:pPr>
            <w:r w:rsidRPr="00D96400">
              <w:rPr>
                <w:i/>
                <w:sz w:val="18"/>
                <w:szCs w:val="18"/>
              </w:rPr>
              <w:t>Activiteiten (B)</w:t>
            </w:r>
          </w:p>
        </w:tc>
        <w:tc>
          <w:tcPr>
            <w:tcW w:w="1406" w:type="dxa"/>
            <w:shd w:val="clear" w:color="auto" w:fill="F2F2F2" w:themeFill="background1" w:themeFillShade="F2"/>
          </w:tcPr>
          <w:p w14:paraId="3869520F" w14:textId="233F5447" w:rsidR="00A71E6E" w:rsidRPr="00D96400" w:rsidRDefault="00A71E6E" w:rsidP="00A71E6E">
            <w:pPr>
              <w:jc w:val="center"/>
              <w:rPr>
                <w:sz w:val="18"/>
                <w:szCs w:val="18"/>
              </w:rPr>
            </w:pPr>
            <w:r w:rsidRPr="00D96400">
              <w:rPr>
                <w:i/>
                <w:sz w:val="18"/>
                <w:szCs w:val="18"/>
              </w:rPr>
              <w:t>(C)</w:t>
            </w:r>
          </w:p>
        </w:tc>
        <w:tc>
          <w:tcPr>
            <w:tcW w:w="1076" w:type="dxa"/>
            <w:shd w:val="clear" w:color="auto" w:fill="F2F2F2" w:themeFill="background1" w:themeFillShade="F2"/>
          </w:tcPr>
          <w:p w14:paraId="174C8DFE" w14:textId="77777777" w:rsidR="00A71E6E" w:rsidRPr="00D96400" w:rsidRDefault="00A71E6E" w:rsidP="00A71E6E">
            <w:pPr>
              <w:jc w:val="center"/>
              <w:rPr>
                <w:sz w:val="18"/>
                <w:szCs w:val="18"/>
              </w:rPr>
            </w:pPr>
          </w:p>
        </w:tc>
        <w:tc>
          <w:tcPr>
            <w:tcW w:w="992" w:type="dxa"/>
            <w:shd w:val="clear" w:color="auto" w:fill="F2F2F2" w:themeFill="background1" w:themeFillShade="F2"/>
          </w:tcPr>
          <w:p w14:paraId="3B7DDB6C" w14:textId="20DE9D7D" w:rsidR="00A71E6E" w:rsidRPr="00D96400" w:rsidRDefault="00A71E6E" w:rsidP="00A71E6E">
            <w:pPr>
              <w:spacing w:line="276" w:lineRule="auto"/>
              <w:jc w:val="center"/>
              <w:rPr>
                <w:sz w:val="18"/>
                <w:szCs w:val="18"/>
              </w:rPr>
            </w:pPr>
          </w:p>
        </w:tc>
      </w:tr>
      <w:tr w:rsidR="00A71E6E" w:rsidRPr="00D96400" w14:paraId="599E4D2D" w14:textId="77777777" w:rsidTr="00D96400">
        <w:trPr>
          <w:jc w:val="center"/>
        </w:trPr>
        <w:tc>
          <w:tcPr>
            <w:tcW w:w="1402" w:type="dxa"/>
            <w:tcBorders>
              <w:top w:val="nil"/>
              <w:bottom w:val="nil"/>
            </w:tcBorders>
          </w:tcPr>
          <w:p w14:paraId="0840470D" w14:textId="77777777" w:rsidR="00A71E6E" w:rsidRPr="00D96400" w:rsidRDefault="00A71E6E" w:rsidP="00A71E6E">
            <w:pPr>
              <w:spacing w:line="276" w:lineRule="auto"/>
              <w:rPr>
                <w:sz w:val="18"/>
                <w:szCs w:val="18"/>
              </w:rPr>
            </w:pPr>
          </w:p>
        </w:tc>
        <w:tc>
          <w:tcPr>
            <w:tcW w:w="425" w:type="dxa"/>
            <w:tcBorders>
              <w:right w:val="nil"/>
            </w:tcBorders>
          </w:tcPr>
          <w:p w14:paraId="24F27492" w14:textId="1BFB0BAC" w:rsidR="00A71E6E" w:rsidRPr="00D96400" w:rsidRDefault="00A71E6E" w:rsidP="00A71E6E">
            <w:pPr>
              <w:spacing w:line="276" w:lineRule="auto"/>
              <w:jc w:val="center"/>
              <w:rPr>
                <w:sz w:val="18"/>
                <w:szCs w:val="18"/>
              </w:rPr>
            </w:pPr>
            <w:r w:rsidRPr="00D96400">
              <w:rPr>
                <w:sz w:val="18"/>
                <w:szCs w:val="18"/>
              </w:rPr>
              <w:t>9</w:t>
            </w:r>
          </w:p>
        </w:tc>
        <w:tc>
          <w:tcPr>
            <w:tcW w:w="2879" w:type="dxa"/>
            <w:tcBorders>
              <w:left w:val="nil"/>
            </w:tcBorders>
          </w:tcPr>
          <w:p w14:paraId="046EDD62" w14:textId="08FB791D" w:rsidR="00A71E6E" w:rsidRPr="00D96400" w:rsidRDefault="00A71E6E" w:rsidP="00A71E6E">
            <w:pPr>
              <w:spacing w:line="276" w:lineRule="auto"/>
              <w:rPr>
                <w:sz w:val="18"/>
                <w:szCs w:val="18"/>
              </w:rPr>
            </w:pPr>
            <w:r w:rsidRPr="00D96400">
              <w:rPr>
                <w:sz w:val="18"/>
                <w:szCs w:val="18"/>
              </w:rPr>
              <w:t>Downstream transport en distributie</w:t>
            </w:r>
          </w:p>
        </w:tc>
        <w:tc>
          <w:tcPr>
            <w:tcW w:w="1294" w:type="dxa"/>
            <w:shd w:val="clear" w:color="auto" w:fill="auto"/>
          </w:tcPr>
          <w:p w14:paraId="2C2FB200" w14:textId="252FDC5F" w:rsidR="00A71E6E" w:rsidRPr="00D96400" w:rsidRDefault="00D96400" w:rsidP="00A71E6E">
            <w:pPr>
              <w:spacing w:line="276" w:lineRule="auto"/>
              <w:jc w:val="center"/>
              <w:rPr>
                <w:sz w:val="18"/>
                <w:szCs w:val="18"/>
              </w:rPr>
            </w:pPr>
            <w:r>
              <w:rPr>
                <w:sz w:val="18"/>
                <w:szCs w:val="18"/>
              </w:rPr>
              <w:t>2</w:t>
            </w:r>
          </w:p>
        </w:tc>
        <w:tc>
          <w:tcPr>
            <w:tcW w:w="1294" w:type="dxa"/>
            <w:shd w:val="clear" w:color="auto" w:fill="auto"/>
          </w:tcPr>
          <w:p w14:paraId="3CCC62B9" w14:textId="239FBA9B" w:rsidR="00A71E6E" w:rsidRPr="00D96400" w:rsidRDefault="00D96400" w:rsidP="00A71E6E">
            <w:pPr>
              <w:spacing w:line="276" w:lineRule="auto"/>
              <w:jc w:val="center"/>
              <w:rPr>
                <w:sz w:val="18"/>
                <w:szCs w:val="18"/>
              </w:rPr>
            </w:pPr>
            <w:r>
              <w:rPr>
                <w:sz w:val="18"/>
                <w:szCs w:val="18"/>
              </w:rPr>
              <w:t>2</w:t>
            </w:r>
          </w:p>
        </w:tc>
        <w:tc>
          <w:tcPr>
            <w:tcW w:w="1406" w:type="dxa"/>
            <w:shd w:val="clear" w:color="auto" w:fill="auto"/>
          </w:tcPr>
          <w:p w14:paraId="07F419F1" w14:textId="77E76AC4" w:rsidR="00A71E6E" w:rsidRPr="00D96400" w:rsidRDefault="00D96400" w:rsidP="00A71E6E">
            <w:pPr>
              <w:spacing w:line="276" w:lineRule="auto"/>
              <w:jc w:val="center"/>
              <w:rPr>
                <w:sz w:val="18"/>
                <w:szCs w:val="18"/>
              </w:rPr>
            </w:pPr>
            <w:r>
              <w:rPr>
                <w:sz w:val="18"/>
                <w:szCs w:val="18"/>
              </w:rPr>
              <w:t>1</w:t>
            </w:r>
          </w:p>
        </w:tc>
        <w:tc>
          <w:tcPr>
            <w:tcW w:w="1076" w:type="dxa"/>
            <w:shd w:val="clear" w:color="auto" w:fill="auto"/>
          </w:tcPr>
          <w:p w14:paraId="18DAE70D" w14:textId="03F7D126" w:rsidR="00A71E6E" w:rsidRPr="00D96400" w:rsidRDefault="000C3B67" w:rsidP="00A71E6E">
            <w:pPr>
              <w:jc w:val="center"/>
              <w:rPr>
                <w:sz w:val="18"/>
                <w:szCs w:val="18"/>
              </w:rPr>
            </w:pPr>
            <w:r w:rsidRPr="00D96400">
              <w:rPr>
                <w:sz w:val="18"/>
                <w:szCs w:val="18"/>
              </w:rPr>
              <w:t>4</w:t>
            </w:r>
          </w:p>
        </w:tc>
        <w:tc>
          <w:tcPr>
            <w:tcW w:w="992" w:type="dxa"/>
            <w:shd w:val="clear" w:color="auto" w:fill="auto"/>
          </w:tcPr>
          <w:p w14:paraId="3A93F803" w14:textId="4BB2BA69" w:rsidR="00A71E6E" w:rsidRPr="00D96400" w:rsidRDefault="00D96400" w:rsidP="00A71E6E">
            <w:pPr>
              <w:spacing w:line="276" w:lineRule="auto"/>
              <w:jc w:val="center"/>
              <w:rPr>
                <w:sz w:val="18"/>
                <w:szCs w:val="18"/>
              </w:rPr>
            </w:pPr>
            <w:r>
              <w:rPr>
                <w:sz w:val="18"/>
                <w:szCs w:val="18"/>
              </w:rPr>
              <w:t>2</w:t>
            </w:r>
          </w:p>
        </w:tc>
      </w:tr>
      <w:tr w:rsidR="00D96400" w:rsidRPr="00D96400" w14:paraId="2D868032" w14:textId="77777777" w:rsidTr="003776B8">
        <w:trPr>
          <w:jc w:val="center"/>
        </w:trPr>
        <w:tc>
          <w:tcPr>
            <w:tcW w:w="1402" w:type="dxa"/>
            <w:tcBorders>
              <w:top w:val="nil"/>
              <w:bottom w:val="nil"/>
            </w:tcBorders>
          </w:tcPr>
          <w:p w14:paraId="29039921" w14:textId="77777777" w:rsidR="00D96400" w:rsidRPr="00D96400" w:rsidRDefault="00D96400" w:rsidP="00D96400">
            <w:pPr>
              <w:spacing w:line="276" w:lineRule="auto"/>
              <w:rPr>
                <w:sz w:val="18"/>
                <w:szCs w:val="18"/>
              </w:rPr>
            </w:pPr>
          </w:p>
        </w:tc>
        <w:tc>
          <w:tcPr>
            <w:tcW w:w="425" w:type="dxa"/>
            <w:tcBorders>
              <w:right w:val="nil"/>
            </w:tcBorders>
          </w:tcPr>
          <w:p w14:paraId="0A166268" w14:textId="326206C8" w:rsidR="00D96400" w:rsidRPr="00D96400" w:rsidRDefault="00D96400" w:rsidP="00D96400">
            <w:pPr>
              <w:spacing w:line="276" w:lineRule="auto"/>
              <w:jc w:val="center"/>
              <w:rPr>
                <w:sz w:val="18"/>
                <w:szCs w:val="18"/>
              </w:rPr>
            </w:pPr>
            <w:r w:rsidRPr="00D96400">
              <w:rPr>
                <w:sz w:val="18"/>
                <w:szCs w:val="18"/>
              </w:rPr>
              <w:t>10</w:t>
            </w:r>
          </w:p>
        </w:tc>
        <w:tc>
          <w:tcPr>
            <w:tcW w:w="2879" w:type="dxa"/>
            <w:tcBorders>
              <w:left w:val="nil"/>
            </w:tcBorders>
          </w:tcPr>
          <w:p w14:paraId="17C9D3F9" w14:textId="75AAF7CD" w:rsidR="00D96400" w:rsidRPr="00D96400" w:rsidRDefault="00D96400" w:rsidP="00D96400">
            <w:pPr>
              <w:spacing w:line="276" w:lineRule="auto"/>
              <w:rPr>
                <w:sz w:val="18"/>
                <w:szCs w:val="18"/>
              </w:rPr>
            </w:pPr>
            <w:r w:rsidRPr="00D96400">
              <w:rPr>
                <w:sz w:val="18"/>
                <w:szCs w:val="18"/>
              </w:rPr>
              <w:t>Ver- of bewerken van verkochte producten</w:t>
            </w:r>
          </w:p>
        </w:tc>
        <w:tc>
          <w:tcPr>
            <w:tcW w:w="1294" w:type="dxa"/>
            <w:shd w:val="clear" w:color="auto" w:fill="auto"/>
          </w:tcPr>
          <w:p w14:paraId="34D5C708" w14:textId="7C9CE7CB" w:rsidR="00D96400" w:rsidRPr="00D96400" w:rsidRDefault="00D96400" w:rsidP="00D96400">
            <w:pPr>
              <w:spacing w:line="276" w:lineRule="auto"/>
              <w:jc w:val="center"/>
              <w:rPr>
                <w:sz w:val="18"/>
                <w:szCs w:val="18"/>
              </w:rPr>
            </w:pPr>
            <w:r w:rsidRPr="00D96400">
              <w:rPr>
                <w:sz w:val="18"/>
                <w:szCs w:val="18"/>
              </w:rPr>
              <w:t>-</w:t>
            </w:r>
          </w:p>
        </w:tc>
        <w:tc>
          <w:tcPr>
            <w:tcW w:w="1294" w:type="dxa"/>
            <w:shd w:val="clear" w:color="auto" w:fill="auto"/>
          </w:tcPr>
          <w:p w14:paraId="08415401" w14:textId="746A0504" w:rsidR="00D96400" w:rsidRPr="00D96400" w:rsidRDefault="00D96400" w:rsidP="00D96400">
            <w:pPr>
              <w:spacing w:line="276" w:lineRule="auto"/>
              <w:jc w:val="center"/>
              <w:rPr>
                <w:sz w:val="18"/>
                <w:szCs w:val="18"/>
              </w:rPr>
            </w:pPr>
            <w:r w:rsidRPr="00D96400">
              <w:rPr>
                <w:sz w:val="18"/>
                <w:szCs w:val="18"/>
              </w:rPr>
              <w:t>-</w:t>
            </w:r>
          </w:p>
        </w:tc>
        <w:tc>
          <w:tcPr>
            <w:tcW w:w="1406" w:type="dxa"/>
            <w:shd w:val="clear" w:color="auto" w:fill="auto"/>
          </w:tcPr>
          <w:p w14:paraId="4D405286" w14:textId="5AD2AB54" w:rsidR="00D96400" w:rsidRPr="00D96400" w:rsidRDefault="00D96400" w:rsidP="00D96400">
            <w:pPr>
              <w:spacing w:line="276" w:lineRule="auto"/>
              <w:jc w:val="center"/>
              <w:rPr>
                <w:sz w:val="18"/>
                <w:szCs w:val="18"/>
              </w:rPr>
            </w:pPr>
            <w:r w:rsidRPr="00D96400">
              <w:rPr>
                <w:sz w:val="18"/>
                <w:szCs w:val="18"/>
              </w:rPr>
              <w:t>-</w:t>
            </w:r>
          </w:p>
        </w:tc>
        <w:tc>
          <w:tcPr>
            <w:tcW w:w="1076" w:type="dxa"/>
            <w:shd w:val="clear" w:color="auto" w:fill="auto"/>
          </w:tcPr>
          <w:p w14:paraId="49A67521" w14:textId="26ED043E" w:rsidR="00D96400" w:rsidRPr="00D96400" w:rsidRDefault="00D96400" w:rsidP="00D96400">
            <w:pPr>
              <w:jc w:val="center"/>
              <w:rPr>
                <w:sz w:val="18"/>
                <w:szCs w:val="18"/>
              </w:rPr>
            </w:pPr>
            <w:r w:rsidRPr="00D96400">
              <w:rPr>
                <w:sz w:val="18"/>
                <w:szCs w:val="18"/>
              </w:rPr>
              <w:t>-</w:t>
            </w:r>
          </w:p>
        </w:tc>
        <w:tc>
          <w:tcPr>
            <w:tcW w:w="992" w:type="dxa"/>
            <w:shd w:val="clear" w:color="auto" w:fill="auto"/>
          </w:tcPr>
          <w:p w14:paraId="37AAC64E" w14:textId="3E4B95DA" w:rsidR="00D96400" w:rsidRPr="00D96400" w:rsidRDefault="00D96400" w:rsidP="00D96400">
            <w:pPr>
              <w:spacing w:line="276" w:lineRule="auto"/>
              <w:jc w:val="center"/>
              <w:rPr>
                <w:sz w:val="18"/>
                <w:szCs w:val="18"/>
              </w:rPr>
            </w:pPr>
            <w:r w:rsidRPr="00D96400">
              <w:rPr>
                <w:sz w:val="18"/>
                <w:szCs w:val="18"/>
              </w:rPr>
              <w:t>-</w:t>
            </w:r>
          </w:p>
        </w:tc>
      </w:tr>
      <w:tr w:rsidR="00A71E6E" w:rsidRPr="00D96400" w14:paraId="51A9083E" w14:textId="77777777" w:rsidTr="003776B8">
        <w:trPr>
          <w:jc w:val="center"/>
        </w:trPr>
        <w:tc>
          <w:tcPr>
            <w:tcW w:w="1402" w:type="dxa"/>
            <w:tcBorders>
              <w:top w:val="nil"/>
              <w:bottom w:val="nil"/>
            </w:tcBorders>
          </w:tcPr>
          <w:p w14:paraId="1BF0BA2F" w14:textId="77777777" w:rsidR="00A71E6E" w:rsidRPr="00D96400" w:rsidRDefault="00A71E6E" w:rsidP="00A71E6E">
            <w:pPr>
              <w:spacing w:line="276" w:lineRule="auto"/>
              <w:rPr>
                <w:sz w:val="18"/>
                <w:szCs w:val="18"/>
              </w:rPr>
            </w:pPr>
          </w:p>
        </w:tc>
        <w:tc>
          <w:tcPr>
            <w:tcW w:w="425" w:type="dxa"/>
            <w:tcBorders>
              <w:right w:val="nil"/>
            </w:tcBorders>
          </w:tcPr>
          <w:p w14:paraId="7D236381" w14:textId="3AF168D0" w:rsidR="00A71E6E" w:rsidRPr="00D96400" w:rsidRDefault="00A71E6E" w:rsidP="00A71E6E">
            <w:pPr>
              <w:spacing w:line="276" w:lineRule="auto"/>
              <w:jc w:val="center"/>
              <w:rPr>
                <w:sz w:val="18"/>
                <w:szCs w:val="18"/>
              </w:rPr>
            </w:pPr>
            <w:r w:rsidRPr="00D96400">
              <w:rPr>
                <w:sz w:val="18"/>
                <w:szCs w:val="18"/>
              </w:rPr>
              <w:t>11</w:t>
            </w:r>
          </w:p>
        </w:tc>
        <w:tc>
          <w:tcPr>
            <w:tcW w:w="2879" w:type="dxa"/>
            <w:tcBorders>
              <w:left w:val="nil"/>
            </w:tcBorders>
          </w:tcPr>
          <w:p w14:paraId="51AD422D" w14:textId="5A4EB86C" w:rsidR="00A71E6E" w:rsidRPr="00D96400" w:rsidRDefault="00A71E6E" w:rsidP="00A71E6E">
            <w:pPr>
              <w:spacing w:line="276" w:lineRule="auto"/>
              <w:rPr>
                <w:sz w:val="18"/>
                <w:szCs w:val="18"/>
              </w:rPr>
            </w:pPr>
            <w:r w:rsidRPr="00D96400">
              <w:rPr>
                <w:sz w:val="18"/>
                <w:szCs w:val="18"/>
              </w:rPr>
              <w:t>Gebruik van verkochte producten</w:t>
            </w:r>
          </w:p>
        </w:tc>
        <w:tc>
          <w:tcPr>
            <w:tcW w:w="1294" w:type="dxa"/>
            <w:shd w:val="clear" w:color="auto" w:fill="auto"/>
          </w:tcPr>
          <w:p w14:paraId="7ED08AFD" w14:textId="2F33FCF6" w:rsidR="00A71E6E" w:rsidRPr="00D96400" w:rsidRDefault="00A71E6E" w:rsidP="00A71E6E">
            <w:pPr>
              <w:spacing w:line="276" w:lineRule="auto"/>
              <w:jc w:val="center"/>
              <w:rPr>
                <w:sz w:val="18"/>
                <w:szCs w:val="18"/>
              </w:rPr>
            </w:pPr>
            <w:r w:rsidRPr="00D96400">
              <w:rPr>
                <w:sz w:val="18"/>
                <w:szCs w:val="18"/>
              </w:rPr>
              <w:t>-</w:t>
            </w:r>
          </w:p>
        </w:tc>
        <w:tc>
          <w:tcPr>
            <w:tcW w:w="1294" w:type="dxa"/>
            <w:shd w:val="clear" w:color="auto" w:fill="auto"/>
          </w:tcPr>
          <w:p w14:paraId="21711987" w14:textId="787C2B00" w:rsidR="00A71E6E" w:rsidRPr="00D96400" w:rsidRDefault="00A71E6E" w:rsidP="00A71E6E">
            <w:pPr>
              <w:spacing w:line="276" w:lineRule="auto"/>
              <w:jc w:val="center"/>
              <w:rPr>
                <w:sz w:val="18"/>
                <w:szCs w:val="18"/>
              </w:rPr>
            </w:pPr>
            <w:r w:rsidRPr="00D96400">
              <w:rPr>
                <w:sz w:val="18"/>
                <w:szCs w:val="18"/>
              </w:rPr>
              <w:t>-</w:t>
            </w:r>
          </w:p>
        </w:tc>
        <w:tc>
          <w:tcPr>
            <w:tcW w:w="1406" w:type="dxa"/>
            <w:shd w:val="clear" w:color="auto" w:fill="auto"/>
          </w:tcPr>
          <w:p w14:paraId="0AED0F36" w14:textId="4E8AA3B3" w:rsidR="00A71E6E" w:rsidRPr="00D96400" w:rsidRDefault="00A71E6E" w:rsidP="00A71E6E">
            <w:pPr>
              <w:spacing w:line="276" w:lineRule="auto"/>
              <w:jc w:val="center"/>
              <w:rPr>
                <w:sz w:val="18"/>
                <w:szCs w:val="18"/>
              </w:rPr>
            </w:pPr>
            <w:r w:rsidRPr="00D96400">
              <w:rPr>
                <w:sz w:val="18"/>
                <w:szCs w:val="18"/>
              </w:rPr>
              <w:t>-</w:t>
            </w:r>
          </w:p>
        </w:tc>
        <w:tc>
          <w:tcPr>
            <w:tcW w:w="1076" w:type="dxa"/>
            <w:shd w:val="clear" w:color="auto" w:fill="auto"/>
          </w:tcPr>
          <w:p w14:paraId="353314E1" w14:textId="5496F243" w:rsidR="00A71E6E" w:rsidRPr="00D96400" w:rsidRDefault="00A71E6E" w:rsidP="00A71E6E">
            <w:pPr>
              <w:jc w:val="center"/>
              <w:rPr>
                <w:sz w:val="18"/>
                <w:szCs w:val="18"/>
              </w:rPr>
            </w:pPr>
            <w:r w:rsidRPr="00D96400">
              <w:rPr>
                <w:sz w:val="18"/>
                <w:szCs w:val="18"/>
              </w:rPr>
              <w:t>-</w:t>
            </w:r>
          </w:p>
        </w:tc>
        <w:tc>
          <w:tcPr>
            <w:tcW w:w="992" w:type="dxa"/>
            <w:shd w:val="clear" w:color="auto" w:fill="auto"/>
          </w:tcPr>
          <w:p w14:paraId="436D42D0" w14:textId="3DD8CE55" w:rsidR="00A71E6E" w:rsidRPr="00D96400" w:rsidRDefault="00A71E6E" w:rsidP="00A71E6E">
            <w:pPr>
              <w:spacing w:line="276" w:lineRule="auto"/>
              <w:jc w:val="center"/>
              <w:rPr>
                <w:sz w:val="18"/>
                <w:szCs w:val="18"/>
              </w:rPr>
            </w:pPr>
            <w:r w:rsidRPr="00D96400">
              <w:rPr>
                <w:sz w:val="18"/>
                <w:szCs w:val="18"/>
              </w:rPr>
              <w:t>-</w:t>
            </w:r>
          </w:p>
        </w:tc>
      </w:tr>
      <w:tr w:rsidR="00D96400" w:rsidRPr="00D96400" w14:paraId="5F73387E" w14:textId="77777777" w:rsidTr="00D96400">
        <w:trPr>
          <w:jc w:val="center"/>
        </w:trPr>
        <w:tc>
          <w:tcPr>
            <w:tcW w:w="1402" w:type="dxa"/>
            <w:tcBorders>
              <w:top w:val="nil"/>
              <w:bottom w:val="nil"/>
            </w:tcBorders>
          </w:tcPr>
          <w:p w14:paraId="5CAE14D4" w14:textId="77777777" w:rsidR="00D96400" w:rsidRPr="00D96400" w:rsidRDefault="00D96400" w:rsidP="00D96400">
            <w:pPr>
              <w:spacing w:line="276" w:lineRule="auto"/>
              <w:rPr>
                <w:sz w:val="18"/>
                <w:szCs w:val="18"/>
              </w:rPr>
            </w:pPr>
          </w:p>
        </w:tc>
        <w:tc>
          <w:tcPr>
            <w:tcW w:w="425" w:type="dxa"/>
            <w:tcBorders>
              <w:right w:val="nil"/>
            </w:tcBorders>
          </w:tcPr>
          <w:p w14:paraId="1D61EED8" w14:textId="1905DE4E" w:rsidR="00D96400" w:rsidRPr="00D96400" w:rsidRDefault="00D96400" w:rsidP="00D96400">
            <w:pPr>
              <w:spacing w:line="276" w:lineRule="auto"/>
              <w:jc w:val="center"/>
              <w:rPr>
                <w:sz w:val="18"/>
                <w:szCs w:val="18"/>
              </w:rPr>
            </w:pPr>
            <w:r w:rsidRPr="00D96400">
              <w:rPr>
                <w:sz w:val="18"/>
                <w:szCs w:val="18"/>
              </w:rPr>
              <w:t>12</w:t>
            </w:r>
          </w:p>
        </w:tc>
        <w:tc>
          <w:tcPr>
            <w:tcW w:w="2879" w:type="dxa"/>
            <w:tcBorders>
              <w:left w:val="nil"/>
            </w:tcBorders>
          </w:tcPr>
          <w:p w14:paraId="5114A88A" w14:textId="112E0C5D" w:rsidR="00D96400" w:rsidRPr="00D96400" w:rsidRDefault="00D96400" w:rsidP="00D96400">
            <w:pPr>
              <w:spacing w:line="276" w:lineRule="auto"/>
              <w:rPr>
                <w:sz w:val="18"/>
                <w:szCs w:val="18"/>
              </w:rPr>
            </w:pPr>
            <w:r w:rsidRPr="00D96400">
              <w:rPr>
                <w:sz w:val="18"/>
                <w:szCs w:val="18"/>
              </w:rPr>
              <w:t>End-of-life verwerking van verkochte producten</w:t>
            </w:r>
          </w:p>
        </w:tc>
        <w:tc>
          <w:tcPr>
            <w:tcW w:w="1294" w:type="dxa"/>
            <w:shd w:val="clear" w:color="auto" w:fill="auto"/>
          </w:tcPr>
          <w:p w14:paraId="20928855" w14:textId="7028B101" w:rsidR="00D96400" w:rsidRPr="00D96400" w:rsidRDefault="00D96400" w:rsidP="00D96400">
            <w:pPr>
              <w:spacing w:line="276" w:lineRule="auto"/>
              <w:jc w:val="center"/>
              <w:rPr>
                <w:sz w:val="18"/>
                <w:szCs w:val="18"/>
              </w:rPr>
            </w:pPr>
            <w:r w:rsidRPr="00D96400">
              <w:rPr>
                <w:sz w:val="18"/>
                <w:szCs w:val="18"/>
              </w:rPr>
              <w:t>1</w:t>
            </w:r>
          </w:p>
        </w:tc>
        <w:tc>
          <w:tcPr>
            <w:tcW w:w="1294" w:type="dxa"/>
            <w:shd w:val="clear" w:color="auto" w:fill="auto"/>
          </w:tcPr>
          <w:p w14:paraId="3084E252" w14:textId="08D4B9F7" w:rsidR="00D96400" w:rsidRPr="00D96400" w:rsidRDefault="00D96400" w:rsidP="00D96400">
            <w:pPr>
              <w:spacing w:line="276" w:lineRule="auto"/>
              <w:jc w:val="center"/>
              <w:rPr>
                <w:sz w:val="18"/>
                <w:szCs w:val="18"/>
              </w:rPr>
            </w:pPr>
            <w:r w:rsidRPr="00D96400">
              <w:rPr>
                <w:sz w:val="18"/>
                <w:szCs w:val="18"/>
              </w:rPr>
              <w:t>1</w:t>
            </w:r>
          </w:p>
        </w:tc>
        <w:tc>
          <w:tcPr>
            <w:tcW w:w="1406" w:type="dxa"/>
            <w:shd w:val="clear" w:color="auto" w:fill="auto"/>
          </w:tcPr>
          <w:p w14:paraId="74EB3B87" w14:textId="60F3D2E6" w:rsidR="00D96400" w:rsidRPr="00D96400" w:rsidRDefault="00D96400" w:rsidP="00D96400">
            <w:pPr>
              <w:spacing w:line="276" w:lineRule="auto"/>
              <w:jc w:val="center"/>
              <w:rPr>
                <w:sz w:val="18"/>
                <w:szCs w:val="18"/>
              </w:rPr>
            </w:pPr>
            <w:r>
              <w:rPr>
                <w:sz w:val="18"/>
                <w:szCs w:val="18"/>
              </w:rPr>
              <w:t>1</w:t>
            </w:r>
          </w:p>
        </w:tc>
        <w:tc>
          <w:tcPr>
            <w:tcW w:w="1076" w:type="dxa"/>
            <w:shd w:val="clear" w:color="auto" w:fill="auto"/>
          </w:tcPr>
          <w:p w14:paraId="56377129" w14:textId="50C9637E" w:rsidR="00D96400" w:rsidRPr="00D96400" w:rsidRDefault="00D96400" w:rsidP="00D96400">
            <w:pPr>
              <w:jc w:val="center"/>
              <w:rPr>
                <w:sz w:val="18"/>
                <w:szCs w:val="18"/>
              </w:rPr>
            </w:pPr>
            <w:r>
              <w:rPr>
                <w:sz w:val="18"/>
                <w:szCs w:val="18"/>
              </w:rPr>
              <w:t>1</w:t>
            </w:r>
          </w:p>
        </w:tc>
        <w:tc>
          <w:tcPr>
            <w:tcW w:w="992" w:type="dxa"/>
            <w:shd w:val="clear" w:color="auto" w:fill="auto"/>
          </w:tcPr>
          <w:p w14:paraId="7F579EC7" w14:textId="2D6A2FB3" w:rsidR="00D96400" w:rsidRPr="00D96400" w:rsidRDefault="00D96400" w:rsidP="00D96400">
            <w:pPr>
              <w:spacing w:line="276" w:lineRule="auto"/>
              <w:jc w:val="center"/>
              <w:rPr>
                <w:sz w:val="18"/>
                <w:szCs w:val="18"/>
              </w:rPr>
            </w:pPr>
            <w:r>
              <w:rPr>
                <w:sz w:val="18"/>
                <w:szCs w:val="18"/>
              </w:rPr>
              <w:t>4</w:t>
            </w:r>
          </w:p>
        </w:tc>
      </w:tr>
      <w:tr w:rsidR="00A71E6E" w:rsidRPr="00D96400" w14:paraId="42A1F708" w14:textId="77777777" w:rsidTr="003776B8">
        <w:trPr>
          <w:jc w:val="center"/>
        </w:trPr>
        <w:tc>
          <w:tcPr>
            <w:tcW w:w="1402" w:type="dxa"/>
            <w:tcBorders>
              <w:top w:val="nil"/>
              <w:bottom w:val="nil"/>
            </w:tcBorders>
          </w:tcPr>
          <w:p w14:paraId="7DBEEA5A" w14:textId="77777777" w:rsidR="00A71E6E" w:rsidRPr="00D96400" w:rsidRDefault="00A71E6E" w:rsidP="00A71E6E">
            <w:pPr>
              <w:spacing w:line="276" w:lineRule="auto"/>
              <w:rPr>
                <w:sz w:val="18"/>
                <w:szCs w:val="18"/>
              </w:rPr>
            </w:pPr>
          </w:p>
        </w:tc>
        <w:tc>
          <w:tcPr>
            <w:tcW w:w="425" w:type="dxa"/>
            <w:tcBorders>
              <w:right w:val="nil"/>
            </w:tcBorders>
          </w:tcPr>
          <w:p w14:paraId="20317DB3" w14:textId="2E9CFDD7" w:rsidR="00A71E6E" w:rsidRPr="00D96400" w:rsidRDefault="00A71E6E" w:rsidP="00A71E6E">
            <w:pPr>
              <w:spacing w:line="276" w:lineRule="auto"/>
              <w:jc w:val="center"/>
              <w:rPr>
                <w:sz w:val="18"/>
                <w:szCs w:val="18"/>
              </w:rPr>
            </w:pPr>
            <w:r w:rsidRPr="00D96400">
              <w:rPr>
                <w:sz w:val="18"/>
                <w:szCs w:val="18"/>
              </w:rPr>
              <w:t>13</w:t>
            </w:r>
          </w:p>
        </w:tc>
        <w:tc>
          <w:tcPr>
            <w:tcW w:w="2879" w:type="dxa"/>
            <w:tcBorders>
              <w:left w:val="nil"/>
            </w:tcBorders>
          </w:tcPr>
          <w:p w14:paraId="25B0115F" w14:textId="57C2E178" w:rsidR="00A71E6E" w:rsidRPr="00D96400" w:rsidRDefault="00A71E6E" w:rsidP="00A71E6E">
            <w:pPr>
              <w:spacing w:line="276" w:lineRule="auto"/>
              <w:rPr>
                <w:sz w:val="18"/>
                <w:szCs w:val="18"/>
              </w:rPr>
            </w:pPr>
            <w:r w:rsidRPr="00D96400">
              <w:rPr>
                <w:sz w:val="18"/>
                <w:szCs w:val="18"/>
              </w:rPr>
              <w:t>Downstream geleasete activa</w:t>
            </w:r>
          </w:p>
        </w:tc>
        <w:tc>
          <w:tcPr>
            <w:tcW w:w="1294" w:type="dxa"/>
            <w:shd w:val="clear" w:color="auto" w:fill="auto"/>
          </w:tcPr>
          <w:p w14:paraId="6E973F14" w14:textId="65AC959E" w:rsidR="00A71E6E" w:rsidRPr="00D96400" w:rsidRDefault="00A71E6E" w:rsidP="00A71E6E">
            <w:pPr>
              <w:spacing w:line="276" w:lineRule="auto"/>
              <w:jc w:val="center"/>
              <w:rPr>
                <w:sz w:val="18"/>
                <w:szCs w:val="18"/>
              </w:rPr>
            </w:pPr>
            <w:r w:rsidRPr="00D96400">
              <w:rPr>
                <w:sz w:val="18"/>
                <w:szCs w:val="18"/>
              </w:rPr>
              <w:t>-</w:t>
            </w:r>
          </w:p>
        </w:tc>
        <w:tc>
          <w:tcPr>
            <w:tcW w:w="1294" w:type="dxa"/>
            <w:shd w:val="clear" w:color="auto" w:fill="auto"/>
          </w:tcPr>
          <w:p w14:paraId="3B5BCCBD" w14:textId="28F4C4C9" w:rsidR="00A71E6E" w:rsidRPr="00D96400" w:rsidRDefault="00A71E6E" w:rsidP="00A71E6E">
            <w:pPr>
              <w:spacing w:line="276" w:lineRule="auto"/>
              <w:jc w:val="center"/>
              <w:rPr>
                <w:sz w:val="18"/>
                <w:szCs w:val="18"/>
              </w:rPr>
            </w:pPr>
            <w:r w:rsidRPr="00D96400">
              <w:rPr>
                <w:sz w:val="18"/>
                <w:szCs w:val="18"/>
              </w:rPr>
              <w:t>-</w:t>
            </w:r>
          </w:p>
        </w:tc>
        <w:tc>
          <w:tcPr>
            <w:tcW w:w="1406" w:type="dxa"/>
            <w:shd w:val="clear" w:color="auto" w:fill="auto"/>
          </w:tcPr>
          <w:p w14:paraId="4BCA4CD8" w14:textId="512E2C8F" w:rsidR="00A71E6E" w:rsidRPr="00D96400" w:rsidRDefault="00A71E6E" w:rsidP="00A71E6E">
            <w:pPr>
              <w:spacing w:line="276" w:lineRule="auto"/>
              <w:jc w:val="center"/>
              <w:rPr>
                <w:sz w:val="18"/>
                <w:szCs w:val="18"/>
              </w:rPr>
            </w:pPr>
            <w:r w:rsidRPr="00D96400">
              <w:rPr>
                <w:sz w:val="18"/>
                <w:szCs w:val="18"/>
              </w:rPr>
              <w:t>-</w:t>
            </w:r>
          </w:p>
        </w:tc>
        <w:tc>
          <w:tcPr>
            <w:tcW w:w="1076" w:type="dxa"/>
            <w:shd w:val="clear" w:color="auto" w:fill="auto"/>
          </w:tcPr>
          <w:p w14:paraId="146F2645" w14:textId="41706321" w:rsidR="00A71E6E" w:rsidRPr="00D96400" w:rsidRDefault="00A71E6E" w:rsidP="00A71E6E">
            <w:pPr>
              <w:jc w:val="center"/>
              <w:rPr>
                <w:sz w:val="18"/>
                <w:szCs w:val="18"/>
              </w:rPr>
            </w:pPr>
            <w:r w:rsidRPr="00D96400">
              <w:rPr>
                <w:sz w:val="18"/>
                <w:szCs w:val="18"/>
              </w:rPr>
              <w:t>-</w:t>
            </w:r>
          </w:p>
        </w:tc>
        <w:tc>
          <w:tcPr>
            <w:tcW w:w="992" w:type="dxa"/>
            <w:shd w:val="clear" w:color="auto" w:fill="auto"/>
          </w:tcPr>
          <w:p w14:paraId="2AF2E0AC" w14:textId="0F97B113" w:rsidR="00A71E6E" w:rsidRPr="00D96400" w:rsidRDefault="00A71E6E" w:rsidP="00A71E6E">
            <w:pPr>
              <w:spacing w:line="276" w:lineRule="auto"/>
              <w:jc w:val="center"/>
              <w:rPr>
                <w:sz w:val="18"/>
                <w:szCs w:val="18"/>
              </w:rPr>
            </w:pPr>
            <w:r w:rsidRPr="00D96400">
              <w:rPr>
                <w:sz w:val="18"/>
                <w:szCs w:val="18"/>
              </w:rPr>
              <w:t>-</w:t>
            </w:r>
          </w:p>
        </w:tc>
      </w:tr>
      <w:tr w:rsidR="00A71E6E" w:rsidRPr="00D96400" w14:paraId="39ED3300" w14:textId="77777777" w:rsidTr="003776B8">
        <w:trPr>
          <w:jc w:val="center"/>
        </w:trPr>
        <w:tc>
          <w:tcPr>
            <w:tcW w:w="1402" w:type="dxa"/>
            <w:tcBorders>
              <w:top w:val="nil"/>
              <w:bottom w:val="nil"/>
            </w:tcBorders>
          </w:tcPr>
          <w:p w14:paraId="4CB99CAC" w14:textId="77777777" w:rsidR="00A71E6E" w:rsidRPr="00D96400" w:rsidRDefault="00A71E6E" w:rsidP="00A71E6E">
            <w:pPr>
              <w:spacing w:line="276" w:lineRule="auto"/>
              <w:rPr>
                <w:sz w:val="18"/>
                <w:szCs w:val="18"/>
              </w:rPr>
            </w:pPr>
          </w:p>
        </w:tc>
        <w:tc>
          <w:tcPr>
            <w:tcW w:w="425" w:type="dxa"/>
            <w:tcBorders>
              <w:right w:val="nil"/>
            </w:tcBorders>
          </w:tcPr>
          <w:p w14:paraId="07BC45E2" w14:textId="6A50938E" w:rsidR="00A71E6E" w:rsidRPr="00D96400" w:rsidRDefault="00A71E6E" w:rsidP="00A71E6E">
            <w:pPr>
              <w:spacing w:line="276" w:lineRule="auto"/>
              <w:jc w:val="center"/>
              <w:rPr>
                <w:sz w:val="18"/>
                <w:szCs w:val="18"/>
              </w:rPr>
            </w:pPr>
            <w:r w:rsidRPr="00D96400">
              <w:rPr>
                <w:sz w:val="18"/>
                <w:szCs w:val="18"/>
              </w:rPr>
              <w:t>14</w:t>
            </w:r>
          </w:p>
        </w:tc>
        <w:tc>
          <w:tcPr>
            <w:tcW w:w="2879" w:type="dxa"/>
            <w:tcBorders>
              <w:left w:val="nil"/>
            </w:tcBorders>
          </w:tcPr>
          <w:p w14:paraId="5CD1A8F2" w14:textId="30399C0F" w:rsidR="00A71E6E" w:rsidRPr="00D96400" w:rsidRDefault="00A71E6E" w:rsidP="00A71E6E">
            <w:pPr>
              <w:spacing w:line="276" w:lineRule="auto"/>
              <w:rPr>
                <w:sz w:val="18"/>
                <w:szCs w:val="18"/>
              </w:rPr>
            </w:pPr>
            <w:r w:rsidRPr="00D96400">
              <w:rPr>
                <w:sz w:val="18"/>
                <w:szCs w:val="18"/>
              </w:rPr>
              <w:t>Franchisehouders</w:t>
            </w:r>
          </w:p>
        </w:tc>
        <w:tc>
          <w:tcPr>
            <w:tcW w:w="1294" w:type="dxa"/>
          </w:tcPr>
          <w:p w14:paraId="724B2E71" w14:textId="7C84A202" w:rsidR="00A71E6E" w:rsidRPr="00D96400" w:rsidRDefault="00A71E6E" w:rsidP="00A71E6E">
            <w:pPr>
              <w:spacing w:line="276" w:lineRule="auto"/>
              <w:jc w:val="center"/>
              <w:rPr>
                <w:sz w:val="18"/>
                <w:szCs w:val="18"/>
              </w:rPr>
            </w:pPr>
            <w:r w:rsidRPr="00D96400">
              <w:rPr>
                <w:sz w:val="18"/>
                <w:szCs w:val="18"/>
              </w:rPr>
              <w:t>-</w:t>
            </w:r>
          </w:p>
        </w:tc>
        <w:tc>
          <w:tcPr>
            <w:tcW w:w="1294" w:type="dxa"/>
          </w:tcPr>
          <w:p w14:paraId="49419FC8" w14:textId="07482DAD" w:rsidR="00A71E6E" w:rsidRPr="00D96400" w:rsidRDefault="00A71E6E" w:rsidP="00A71E6E">
            <w:pPr>
              <w:spacing w:line="276" w:lineRule="auto"/>
              <w:jc w:val="center"/>
              <w:rPr>
                <w:sz w:val="18"/>
                <w:szCs w:val="18"/>
              </w:rPr>
            </w:pPr>
            <w:r w:rsidRPr="00D96400">
              <w:rPr>
                <w:sz w:val="18"/>
                <w:szCs w:val="18"/>
              </w:rPr>
              <w:t>-</w:t>
            </w:r>
          </w:p>
        </w:tc>
        <w:tc>
          <w:tcPr>
            <w:tcW w:w="1406" w:type="dxa"/>
          </w:tcPr>
          <w:p w14:paraId="759BA9DF" w14:textId="770CFE91" w:rsidR="00A71E6E" w:rsidRPr="00D96400" w:rsidRDefault="00A71E6E" w:rsidP="00A71E6E">
            <w:pPr>
              <w:spacing w:line="276" w:lineRule="auto"/>
              <w:jc w:val="center"/>
              <w:rPr>
                <w:sz w:val="18"/>
                <w:szCs w:val="18"/>
              </w:rPr>
            </w:pPr>
            <w:r w:rsidRPr="00D96400">
              <w:rPr>
                <w:sz w:val="18"/>
                <w:szCs w:val="18"/>
              </w:rPr>
              <w:t>-</w:t>
            </w:r>
          </w:p>
        </w:tc>
        <w:tc>
          <w:tcPr>
            <w:tcW w:w="1076" w:type="dxa"/>
            <w:shd w:val="clear" w:color="auto" w:fill="auto"/>
          </w:tcPr>
          <w:p w14:paraId="583DA394" w14:textId="07CF013E" w:rsidR="00A71E6E" w:rsidRPr="00D96400" w:rsidRDefault="00A71E6E" w:rsidP="00A71E6E">
            <w:pPr>
              <w:jc w:val="center"/>
              <w:rPr>
                <w:sz w:val="18"/>
                <w:szCs w:val="18"/>
              </w:rPr>
            </w:pPr>
            <w:r w:rsidRPr="00D96400">
              <w:rPr>
                <w:sz w:val="18"/>
                <w:szCs w:val="18"/>
              </w:rPr>
              <w:t>-</w:t>
            </w:r>
          </w:p>
        </w:tc>
        <w:tc>
          <w:tcPr>
            <w:tcW w:w="992" w:type="dxa"/>
            <w:shd w:val="clear" w:color="auto" w:fill="auto"/>
          </w:tcPr>
          <w:p w14:paraId="6FD0D7A1" w14:textId="4970CF56" w:rsidR="00A71E6E" w:rsidRPr="00D96400" w:rsidRDefault="00A71E6E" w:rsidP="00A71E6E">
            <w:pPr>
              <w:spacing w:line="276" w:lineRule="auto"/>
              <w:jc w:val="center"/>
              <w:rPr>
                <w:sz w:val="18"/>
                <w:szCs w:val="18"/>
              </w:rPr>
            </w:pPr>
            <w:r w:rsidRPr="00D96400">
              <w:rPr>
                <w:sz w:val="18"/>
                <w:szCs w:val="18"/>
              </w:rPr>
              <w:t>-</w:t>
            </w:r>
          </w:p>
        </w:tc>
      </w:tr>
      <w:tr w:rsidR="00A71E6E" w:rsidRPr="00D96400" w14:paraId="4C1B3C4C" w14:textId="77777777" w:rsidTr="003776B8">
        <w:trPr>
          <w:jc w:val="center"/>
        </w:trPr>
        <w:tc>
          <w:tcPr>
            <w:tcW w:w="1402" w:type="dxa"/>
            <w:tcBorders>
              <w:top w:val="nil"/>
              <w:bottom w:val="nil"/>
            </w:tcBorders>
          </w:tcPr>
          <w:p w14:paraId="1582758A" w14:textId="77777777" w:rsidR="00A71E6E" w:rsidRPr="00D96400" w:rsidRDefault="00A71E6E" w:rsidP="00A71E6E">
            <w:pPr>
              <w:spacing w:line="276" w:lineRule="auto"/>
              <w:rPr>
                <w:sz w:val="18"/>
                <w:szCs w:val="18"/>
              </w:rPr>
            </w:pPr>
          </w:p>
        </w:tc>
        <w:tc>
          <w:tcPr>
            <w:tcW w:w="425" w:type="dxa"/>
            <w:tcBorders>
              <w:bottom w:val="single" w:sz="4" w:space="0" w:color="auto"/>
              <w:right w:val="nil"/>
            </w:tcBorders>
          </w:tcPr>
          <w:p w14:paraId="046EE83A" w14:textId="2D24AD63" w:rsidR="00A71E6E" w:rsidRPr="00D96400" w:rsidRDefault="00A71E6E" w:rsidP="00A71E6E">
            <w:pPr>
              <w:spacing w:line="276" w:lineRule="auto"/>
              <w:jc w:val="center"/>
              <w:rPr>
                <w:sz w:val="18"/>
                <w:szCs w:val="18"/>
              </w:rPr>
            </w:pPr>
            <w:r w:rsidRPr="00D96400">
              <w:rPr>
                <w:sz w:val="18"/>
                <w:szCs w:val="18"/>
              </w:rPr>
              <w:t>15</w:t>
            </w:r>
          </w:p>
        </w:tc>
        <w:tc>
          <w:tcPr>
            <w:tcW w:w="2879" w:type="dxa"/>
            <w:tcBorders>
              <w:left w:val="nil"/>
              <w:bottom w:val="single" w:sz="4" w:space="0" w:color="auto"/>
            </w:tcBorders>
          </w:tcPr>
          <w:p w14:paraId="48E3F6B0" w14:textId="731C82CF" w:rsidR="00A71E6E" w:rsidRPr="00D96400" w:rsidRDefault="00A71E6E" w:rsidP="00A71E6E">
            <w:pPr>
              <w:spacing w:line="276" w:lineRule="auto"/>
              <w:rPr>
                <w:sz w:val="18"/>
                <w:szCs w:val="18"/>
              </w:rPr>
            </w:pPr>
            <w:r w:rsidRPr="00D96400">
              <w:rPr>
                <w:sz w:val="18"/>
                <w:szCs w:val="18"/>
              </w:rPr>
              <w:t>Investeringen</w:t>
            </w:r>
          </w:p>
        </w:tc>
        <w:tc>
          <w:tcPr>
            <w:tcW w:w="1294" w:type="dxa"/>
            <w:tcBorders>
              <w:bottom w:val="single" w:sz="4" w:space="0" w:color="auto"/>
            </w:tcBorders>
          </w:tcPr>
          <w:p w14:paraId="04716AD3" w14:textId="2E448A64" w:rsidR="00A71E6E" w:rsidRPr="00D96400" w:rsidRDefault="00A71E6E" w:rsidP="00A71E6E">
            <w:pPr>
              <w:spacing w:line="276" w:lineRule="auto"/>
              <w:jc w:val="center"/>
              <w:rPr>
                <w:sz w:val="18"/>
                <w:szCs w:val="18"/>
              </w:rPr>
            </w:pPr>
            <w:r w:rsidRPr="00D96400">
              <w:rPr>
                <w:sz w:val="18"/>
                <w:szCs w:val="18"/>
              </w:rPr>
              <w:t>-</w:t>
            </w:r>
          </w:p>
        </w:tc>
        <w:tc>
          <w:tcPr>
            <w:tcW w:w="1294" w:type="dxa"/>
            <w:tcBorders>
              <w:bottom w:val="single" w:sz="4" w:space="0" w:color="auto"/>
            </w:tcBorders>
          </w:tcPr>
          <w:p w14:paraId="0272BD43" w14:textId="167DE06B" w:rsidR="00A71E6E" w:rsidRPr="00D96400" w:rsidRDefault="00A71E6E" w:rsidP="00A71E6E">
            <w:pPr>
              <w:spacing w:line="276" w:lineRule="auto"/>
              <w:jc w:val="center"/>
              <w:rPr>
                <w:sz w:val="18"/>
                <w:szCs w:val="18"/>
              </w:rPr>
            </w:pPr>
            <w:r w:rsidRPr="00D96400">
              <w:rPr>
                <w:sz w:val="18"/>
                <w:szCs w:val="18"/>
              </w:rPr>
              <w:t>-</w:t>
            </w:r>
          </w:p>
        </w:tc>
        <w:tc>
          <w:tcPr>
            <w:tcW w:w="1406" w:type="dxa"/>
            <w:tcBorders>
              <w:bottom w:val="single" w:sz="4" w:space="0" w:color="auto"/>
            </w:tcBorders>
          </w:tcPr>
          <w:p w14:paraId="4CA5ABD9" w14:textId="76172449" w:rsidR="00A71E6E" w:rsidRPr="00D96400" w:rsidRDefault="00A71E6E" w:rsidP="00A71E6E">
            <w:pPr>
              <w:spacing w:line="276" w:lineRule="auto"/>
              <w:jc w:val="center"/>
              <w:rPr>
                <w:sz w:val="18"/>
                <w:szCs w:val="18"/>
              </w:rPr>
            </w:pPr>
            <w:r w:rsidRPr="00D96400">
              <w:rPr>
                <w:sz w:val="18"/>
                <w:szCs w:val="18"/>
              </w:rPr>
              <w:t>-</w:t>
            </w:r>
          </w:p>
        </w:tc>
        <w:tc>
          <w:tcPr>
            <w:tcW w:w="1076" w:type="dxa"/>
            <w:tcBorders>
              <w:bottom w:val="single" w:sz="4" w:space="0" w:color="auto"/>
            </w:tcBorders>
            <w:shd w:val="clear" w:color="auto" w:fill="auto"/>
          </w:tcPr>
          <w:p w14:paraId="369917C7" w14:textId="2B6F69B0" w:rsidR="00A71E6E" w:rsidRPr="00D96400" w:rsidRDefault="00A71E6E" w:rsidP="00A71E6E">
            <w:pPr>
              <w:jc w:val="center"/>
              <w:rPr>
                <w:sz w:val="18"/>
                <w:szCs w:val="18"/>
              </w:rPr>
            </w:pPr>
            <w:r w:rsidRPr="00D96400">
              <w:rPr>
                <w:sz w:val="18"/>
                <w:szCs w:val="18"/>
              </w:rPr>
              <w:t>-</w:t>
            </w:r>
          </w:p>
        </w:tc>
        <w:tc>
          <w:tcPr>
            <w:tcW w:w="992" w:type="dxa"/>
            <w:tcBorders>
              <w:bottom w:val="single" w:sz="4" w:space="0" w:color="auto"/>
            </w:tcBorders>
            <w:shd w:val="clear" w:color="auto" w:fill="auto"/>
          </w:tcPr>
          <w:p w14:paraId="0ABE9307" w14:textId="6C364752" w:rsidR="00A71E6E" w:rsidRPr="00D96400" w:rsidRDefault="00A71E6E" w:rsidP="00A71E6E">
            <w:pPr>
              <w:spacing w:line="276" w:lineRule="auto"/>
              <w:jc w:val="center"/>
              <w:rPr>
                <w:sz w:val="18"/>
                <w:szCs w:val="18"/>
              </w:rPr>
            </w:pPr>
            <w:r w:rsidRPr="00D96400">
              <w:rPr>
                <w:sz w:val="18"/>
                <w:szCs w:val="18"/>
              </w:rPr>
              <w:t>-</w:t>
            </w:r>
          </w:p>
        </w:tc>
      </w:tr>
      <w:tr w:rsidR="00A71E6E" w:rsidRPr="00D96400" w14:paraId="58B5D115" w14:textId="77777777" w:rsidTr="003776B8">
        <w:trPr>
          <w:jc w:val="center"/>
        </w:trPr>
        <w:tc>
          <w:tcPr>
            <w:tcW w:w="1402" w:type="dxa"/>
            <w:tcBorders>
              <w:top w:val="nil"/>
              <w:bottom w:val="single" w:sz="4" w:space="0" w:color="auto"/>
            </w:tcBorders>
          </w:tcPr>
          <w:p w14:paraId="1C1F32B4" w14:textId="77777777" w:rsidR="00A71E6E" w:rsidRPr="00D96400" w:rsidRDefault="00A71E6E" w:rsidP="00A71E6E">
            <w:pPr>
              <w:rPr>
                <w:sz w:val="18"/>
                <w:szCs w:val="18"/>
              </w:rPr>
            </w:pPr>
          </w:p>
        </w:tc>
        <w:tc>
          <w:tcPr>
            <w:tcW w:w="425" w:type="dxa"/>
            <w:tcBorders>
              <w:bottom w:val="single" w:sz="4" w:space="0" w:color="auto"/>
              <w:right w:val="nil"/>
            </w:tcBorders>
          </w:tcPr>
          <w:p w14:paraId="2A648515" w14:textId="7CF3F9C4" w:rsidR="00A71E6E" w:rsidRPr="00D96400" w:rsidRDefault="00A71E6E" w:rsidP="00A71E6E">
            <w:pPr>
              <w:jc w:val="center"/>
              <w:rPr>
                <w:sz w:val="18"/>
                <w:szCs w:val="18"/>
              </w:rPr>
            </w:pPr>
            <w:r w:rsidRPr="00D96400">
              <w:rPr>
                <w:sz w:val="18"/>
                <w:szCs w:val="18"/>
              </w:rPr>
              <w:t>*</w:t>
            </w:r>
          </w:p>
          <w:p w14:paraId="46AD32A4" w14:textId="36C1DE26" w:rsidR="00A71E6E" w:rsidRPr="00D96400" w:rsidRDefault="00A71E6E" w:rsidP="00A71E6E">
            <w:pPr>
              <w:jc w:val="center"/>
              <w:rPr>
                <w:sz w:val="18"/>
                <w:szCs w:val="18"/>
              </w:rPr>
            </w:pPr>
            <w:r w:rsidRPr="00D96400">
              <w:rPr>
                <w:sz w:val="18"/>
                <w:szCs w:val="18"/>
              </w:rPr>
              <w:t>**</w:t>
            </w:r>
          </w:p>
        </w:tc>
        <w:tc>
          <w:tcPr>
            <w:tcW w:w="8941" w:type="dxa"/>
            <w:gridSpan w:val="6"/>
            <w:tcBorders>
              <w:left w:val="nil"/>
              <w:bottom w:val="single" w:sz="4" w:space="0" w:color="auto"/>
            </w:tcBorders>
          </w:tcPr>
          <w:p w14:paraId="355470D0" w14:textId="4B1CBDC9" w:rsidR="00A71E6E" w:rsidRPr="00D96400" w:rsidRDefault="00A71E6E" w:rsidP="00A71E6E">
            <w:pPr>
              <w:pStyle w:val="Voettekst"/>
              <w:rPr>
                <w:sz w:val="16"/>
                <w:szCs w:val="16"/>
              </w:rPr>
            </w:pPr>
            <w:r w:rsidRPr="00D96400">
              <w:rPr>
                <w:sz w:val="16"/>
                <w:szCs w:val="16"/>
              </w:rPr>
              <w:t>(1) te verwaarlozen / (2) klein / (3) middelgroot / (4) groot</w:t>
            </w:r>
          </w:p>
          <w:p w14:paraId="431D5E42" w14:textId="2A807D9E" w:rsidR="00A71E6E" w:rsidRPr="00D96400" w:rsidRDefault="00A71E6E" w:rsidP="00A71E6E">
            <w:pPr>
              <w:pStyle w:val="Voettekst"/>
              <w:rPr>
                <w:sz w:val="18"/>
                <w:szCs w:val="18"/>
              </w:rPr>
            </w:pPr>
            <w:r w:rsidRPr="00D96400">
              <w:rPr>
                <w:sz w:val="16"/>
                <w:szCs w:val="16"/>
              </w:rPr>
              <w:t>uitkomst stap A x stap B x stap C (bij gelijke uitkomst is stap C doorslaggevend)</w:t>
            </w:r>
          </w:p>
        </w:tc>
      </w:tr>
    </w:tbl>
    <w:p w14:paraId="3D1B92C5" w14:textId="65DA6CDA" w:rsidR="00111078" w:rsidRPr="002430BF" w:rsidRDefault="00111078" w:rsidP="00410CFD">
      <w:pPr>
        <w:rPr>
          <w:highlight w:val="yellow"/>
        </w:rPr>
      </w:pPr>
    </w:p>
    <w:p w14:paraId="697D5357" w14:textId="29A8CE2C" w:rsidR="009A31B8" w:rsidRPr="003960AB" w:rsidRDefault="009A31B8" w:rsidP="009A31B8">
      <w:r w:rsidRPr="003960AB">
        <w:t>Aan de hand van deze beoordeling</w:t>
      </w:r>
      <w:r w:rsidR="003D4C62" w:rsidRPr="003960AB">
        <w:t xml:space="preserve"> komen de volgende punten naar voren m.b.t. rangorde bepaling:</w:t>
      </w:r>
      <w:r w:rsidRPr="003960AB">
        <w:t xml:space="preserve"> </w:t>
      </w:r>
    </w:p>
    <w:p w14:paraId="357A3B57" w14:textId="7727F377" w:rsidR="000C3B67" w:rsidRPr="003960AB" w:rsidRDefault="003960AB" w:rsidP="000C3B67">
      <w:pPr>
        <w:pStyle w:val="Lijstalinea"/>
        <w:numPr>
          <w:ilvl w:val="0"/>
          <w:numId w:val="23"/>
        </w:numPr>
      </w:pPr>
      <w:r w:rsidRPr="003960AB">
        <w:t xml:space="preserve">Upstream </w:t>
      </w:r>
      <w:r w:rsidR="000C3B67" w:rsidRPr="003960AB">
        <w:t xml:space="preserve">transport en distributie: </w:t>
      </w:r>
    </w:p>
    <w:p w14:paraId="78D9E809" w14:textId="040123DA" w:rsidR="000C3B67" w:rsidRPr="003960AB" w:rsidRDefault="000C3B67" w:rsidP="000C3B67">
      <w:pPr>
        <w:pStyle w:val="Lijstalinea"/>
        <w:numPr>
          <w:ilvl w:val="0"/>
          <w:numId w:val="25"/>
        </w:numPr>
      </w:pPr>
      <w:r w:rsidRPr="003960AB">
        <w:t xml:space="preserve">Transport van </w:t>
      </w:r>
      <w:r w:rsidR="003960AB" w:rsidRPr="003960AB">
        <w:t>ingekochte materialen door derden</w:t>
      </w:r>
    </w:p>
    <w:p w14:paraId="45C274EA" w14:textId="1AA6A4CD" w:rsidR="003D4C62" w:rsidRPr="003960AB" w:rsidRDefault="003960AB" w:rsidP="003D4C62">
      <w:pPr>
        <w:pStyle w:val="Lijstalinea"/>
        <w:numPr>
          <w:ilvl w:val="0"/>
          <w:numId w:val="23"/>
        </w:numPr>
      </w:pPr>
      <w:r w:rsidRPr="003960AB">
        <w:t>Downstream transport en distributie:</w:t>
      </w:r>
    </w:p>
    <w:p w14:paraId="213054D6" w14:textId="30D7CA9C" w:rsidR="00A71E6E" w:rsidRPr="003960AB" w:rsidRDefault="003960AB" w:rsidP="00A71E6E">
      <w:pPr>
        <w:pStyle w:val="Lijstalinea"/>
        <w:numPr>
          <w:ilvl w:val="0"/>
          <w:numId w:val="24"/>
        </w:numPr>
      </w:pPr>
      <w:r w:rsidRPr="003960AB">
        <w:t>Transport van vrijgekomen materialen door derden</w:t>
      </w:r>
    </w:p>
    <w:p w14:paraId="7B267B0B" w14:textId="77777777" w:rsidR="003D4C62" w:rsidRPr="002430BF" w:rsidRDefault="003D4C62" w:rsidP="009A31B8">
      <w:pPr>
        <w:rPr>
          <w:highlight w:val="yellow"/>
        </w:rPr>
      </w:pPr>
    </w:p>
    <w:p w14:paraId="078EC682" w14:textId="43D8A6A1" w:rsidR="00111078" w:rsidRPr="003960AB" w:rsidRDefault="001855BC" w:rsidP="001855BC">
      <w:pPr>
        <w:pStyle w:val="Kop2"/>
      </w:pPr>
      <w:bookmarkStart w:id="8" w:name="_Toc49245513"/>
      <w:r w:rsidRPr="003960AB">
        <w:t>Onderbouwing keuze ketenanalyse</w:t>
      </w:r>
      <w:bookmarkEnd w:id="8"/>
    </w:p>
    <w:p w14:paraId="135491A9" w14:textId="12CA242F" w:rsidR="001855BC" w:rsidRPr="003960AB" w:rsidRDefault="001855BC" w:rsidP="001855BC">
      <w:r w:rsidRPr="003960AB">
        <w:t xml:space="preserve">Bij de keuze van de ketenanalyse is </w:t>
      </w:r>
      <w:r w:rsidR="00A71E6E" w:rsidRPr="003960AB">
        <w:t xml:space="preserve">wordt </w:t>
      </w:r>
      <w:r w:rsidRPr="003960AB">
        <w:t>alleen uitgegaan van de hoeveelheid gebruikte materialen</w:t>
      </w:r>
      <w:r w:rsidR="00A71E6E" w:rsidRPr="003960AB">
        <w:t>. Bij de keuze van de ketenanalyse wordt (conform het GHG-protocol) gekeken naar de volgende criteria:</w:t>
      </w:r>
      <w:r w:rsidRPr="003960AB">
        <w:t xml:space="preserve"> </w:t>
      </w:r>
    </w:p>
    <w:p w14:paraId="2E64CE79" w14:textId="77777777" w:rsidR="001855BC" w:rsidRPr="003960AB" w:rsidRDefault="001855BC" w:rsidP="001855BC">
      <w:pPr>
        <w:pStyle w:val="Lijstalinea"/>
        <w:numPr>
          <w:ilvl w:val="0"/>
          <w:numId w:val="17"/>
        </w:numPr>
      </w:pPr>
      <w:r w:rsidRPr="003960AB">
        <w:t>relevantie;</w:t>
      </w:r>
    </w:p>
    <w:p w14:paraId="6C51B5C5" w14:textId="77777777" w:rsidR="001855BC" w:rsidRPr="003960AB" w:rsidRDefault="001855BC" w:rsidP="001855BC">
      <w:pPr>
        <w:pStyle w:val="Lijstalinea"/>
        <w:numPr>
          <w:ilvl w:val="0"/>
          <w:numId w:val="17"/>
        </w:numPr>
      </w:pPr>
      <w:r w:rsidRPr="003960AB">
        <w:t>mogelijkheid voor kostenbesparing;</w:t>
      </w:r>
    </w:p>
    <w:p w14:paraId="15B74127" w14:textId="77777777" w:rsidR="001855BC" w:rsidRPr="003960AB" w:rsidRDefault="001855BC" w:rsidP="001855BC">
      <w:pPr>
        <w:pStyle w:val="Lijstalinea"/>
        <w:numPr>
          <w:ilvl w:val="0"/>
          <w:numId w:val="17"/>
        </w:numPr>
      </w:pPr>
      <w:r w:rsidRPr="003960AB">
        <w:t>het voorhanden zijn van betrouwbare informatie;</w:t>
      </w:r>
    </w:p>
    <w:p w14:paraId="324B2EF0" w14:textId="77777777" w:rsidR="001855BC" w:rsidRPr="003960AB" w:rsidRDefault="001855BC" w:rsidP="001855BC">
      <w:pPr>
        <w:pStyle w:val="Lijstalinea"/>
        <w:numPr>
          <w:ilvl w:val="0"/>
          <w:numId w:val="17"/>
        </w:numPr>
      </w:pPr>
      <w:r w:rsidRPr="003960AB">
        <w:lastRenderedPageBreak/>
        <w:t>potentiële reductiebronnen;</w:t>
      </w:r>
    </w:p>
    <w:p w14:paraId="095488C1" w14:textId="77777777" w:rsidR="001855BC" w:rsidRPr="003960AB" w:rsidRDefault="001855BC" w:rsidP="001855BC">
      <w:pPr>
        <w:pStyle w:val="Lijstalinea"/>
        <w:numPr>
          <w:ilvl w:val="0"/>
          <w:numId w:val="17"/>
        </w:numPr>
      </w:pPr>
      <w:r w:rsidRPr="003960AB">
        <w:t>beïnvloedingsmogelijkheden.</w:t>
      </w:r>
    </w:p>
    <w:p w14:paraId="35A3CB9D" w14:textId="77777777" w:rsidR="001855BC" w:rsidRPr="002430BF" w:rsidRDefault="001855BC" w:rsidP="001855BC">
      <w:pPr>
        <w:rPr>
          <w:highlight w:val="yellow"/>
        </w:rPr>
      </w:pPr>
    </w:p>
    <w:tbl>
      <w:tblPr>
        <w:tblStyle w:val="Tabelraster"/>
        <w:tblW w:w="9062" w:type="dxa"/>
        <w:tblLook w:val="04A0" w:firstRow="1" w:lastRow="0" w:firstColumn="1" w:lastColumn="0" w:noHBand="0" w:noVBand="1"/>
      </w:tblPr>
      <w:tblGrid>
        <w:gridCol w:w="1838"/>
        <w:gridCol w:w="3612"/>
        <w:gridCol w:w="3612"/>
      </w:tblGrid>
      <w:tr w:rsidR="000C3B67" w:rsidRPr="003960AB" w14:paraId="3161E6F1" w14:textId="77777777" w:rsidTr="000C3B67">
        <w:trPr>
          <w:tblHeader/>
        </w:trPr>
        <w:tc>
          <w:tcPr>
            <w:tcW w:w="1838" w:type="dxa"/>
            <w:shd w:val="clear" w:color="auto" w:fill="BFBFBF" w:themeFill="background1" w:themeFillShade="BF"/>
          </w:tcPr>
          <w:p w14:paraId="517D410D" w14:textId="77777777" w:rsidR="000C3B67" w:rsidRPr="003960AB" w:rsidRDefault="000C3B67" w:rsidP="000C3B67">
            <w:pPr>
              <w:rPr>
                <w:b/>
              </w:rPr>
            </w:pPr>
            <w:r w:rsidRPr="003960AB">
              <w:rPr>
                <w:b/>
              </w:rPr>
              <w:t>Criteria</w:t>
            </w:r>
          </w:p>
          <w:p w14:paraId="5BD4E92D" w14:textId="52458E9F" w:rsidR="000C3B67" w:rsidRPr="003960AB" w:rsidRDefault="000C3B67" w:rsidP="000C3B67">
            <w:pPr>
              <w:rPr>
                <w:b/>
              </w:rPr>
            </w:pPr>
          </w:p>
        </w:tc>
        <w:tc>
          <w:tcPr>
            <w:tcW w:w="3612" w:type="dxa"/>
            <w:shd w:val="clear" w:color="auto" w:fill="BFBFBF" w:themeFill="background1" w:themeFillShade="BF"/>
          </w:tcPr>
          <w:p w14:paraId="27E8C777" w14:textId="7E15C494" w:rsidR="000C3B67" w:rsidRPr="003960AB" w:rsidRDefault="000C3B67" w:rsidP="000C3B67">
            <w:pPr>
              <w:rPr>
                <w:b/>
              </w:rPr>
            </w:pPr>
            <w:r w:rsidRPr="003960AB">
              <w:rPr>
                <w:b/>
              </w:rPr>
              <w:t xml:space="preserve">Optie 1: </w:t>
            </w:r>
            <w:r w:rsidR="003960AB" w:rsidRPr="003960AB">
              <w:rPr>
                <w:b/>
              </w:rPr>
              <w:t>transport van ingekochte materialen door derden</w:t>
            </w:r>
          </w:p>
        </w:tc>
        <w:tc>
          <w:tcPr>
            <w:tcW w:w="3612" w:type="dxa"/>
            <w:shd w:val="clear" w:color="auto" w:fill="BFBFBF" w:themeFill="background1" w:themeFillShade="BF"/>
          </w:tcPr>
          <w:p w14:paraId="12024894" w14:textId="2CD7FFD2" w:rsidR="000C3B67" w:rsidRPr="003960AB" w:rsidRDefault="000C3B67" w:rsidP="000C3B67">
            <w:pPr>
              <w:rPr>
                <w:b/>
              </w:rPr>
            </w:pPr>
            <w:r w:rsidRPr="003960AB">
              <w:rPr>
                <w:b/>
              </w:rPr>
              <w:t xml:space="preserve">Optie 2: </w:t>
            </w:r>
            <w:r w:rsidR="003960AB" w:rsidRPr="003960AB">
              <w:rPr>
                <w:b/>
              </w:rPr>
              <w:t>transport van vrijgekomen materialen door derden</w:t>
            </w:r>
          </w:p>
        </w:tc>
      </w:tr>
      <w:tr w:rsidR="000C3B67" w:rsidRPr="003960AB" w14:paraId="6150699D" w14:textId="77777777" w:rsidTr="000C3B67">
        <w:tc>
          <w:tcPr>
            <w:tcW w:w="1838" w:type="dxa"/>
          </w:tcPr>
          <w:p w14:paraId="13E58C70" w14:textId="34CD60CB" w:rsidR="000C3B67" w:rsidRPr="003960AB" w:rsidRDefault="000C3B67" w:rsidP="000C3B67">
            <w:r w:rsidRPr="003960AB">
              <w:t>Relevantie</w:t>
            </w:r>
          </w:p>
        </w:tc>
        <w:tc>
          <w:tcPr>
            <w:tcW w:w="3612" w:type="dxa"/>
            <w:shd w:val="clear" w:color="auto" w:fill="92D050"/>
          </w:tcPr>
          <w:p w14:paraId="291881AB" w14:textId="4886CFFA" w:rsidR="000C3B67" w:rsidRPr="003960AB" w:rsidRDefault="003960AB" w:rsidP="000C3B67">
            <w:r w:rsidRPr="003960AB">
              <w:t>Alle producten die worden ingekocht worden door derden afgeleverd op het project.</w:t>
            </w:r>
          </w:p>
        </w:tc>
        <w:tc>
          <w:tcPr>
            <w:tcW w:w="3612" w:type="dxa"/>
            <w:shd w:val="clear" w:color="auto" w:fill="92D050"/>
          </w:tcPr>
          <w:p w14:paraId="684952D7" w14:textId="76E57A5D" w:rsidR="000C3B67" w:rsidRPr="003960AB" w:rsidRDefault="003960AB" w:rsidP="000C3B67">
            <w:r w:rsidRPr="003960AB">
              <w:t xml:space="preserve">Alle producten die worden vrij komen op het werk worden afgevoerd naar erkende verwerkers. </w:t>
            </w:r>
          </w:p>
        </w:tc>
      </w:tr>
      <w:tr w:rsidR="000C3B67" w:rsidRPr="003960AB" w14:paraId="15AF7975" w14:textId="77777777" w:rsidTr="000C3B67">
        <w:tc>
          <w:tcPr>
            <w:tcW w:w="1838" w:type="dxa"/>
          </w:tcPr>
          <w:p w14:paraId="64F08606" w14:textId="4CA28042" w:rsidR="000C3B67" w:rsidRPr="003960AB" w:rsidRDefault="000C3B67" w:rsidP="000C3B67">
            <w:r w:rsidRPr="003960AB">
              <w:t>Mogelijkheid voor kostenbesparing</w:t>
            </w:r>
          </w:p>
        </w:tc>
        <w:tc>
          <w:tcPr>
            <w:tcW w:w="3612" w:type="dxa"/>
            <w:shd w:val="clear" w:color="auto" w:fill="92D050"/>
          </w:tcPr>
          <w:p w14:paraId="4354E9D3" w14:textId="2A01C1F2" w:rsidR="000C3B67" w:rsidRPr="003960AB" w:rsidRDefault="000C3B67" w:rsidP="000C3B67">
            <w:r w:rsidRPr="003960AB">
              <w:t xml:space="preserve">Er zijn mogelijkheden tot brandstofbesparing bij </w:t>
            </w:r>
            <w:r w:rsidR="003960AB" w:rsidRPr="003960AB">
              <w:t>het transport</w:t>
            </w:r>
            <w:r w:rsidRPr="003960AB">
              <w:t>. Minder brandstof betekent minder kosten.</w:t>
            </w:r>
          </w:p>
        </w:tc>
        <w:tc>
          <w:tcPr>
            <w:tcW w:w="3612" w:type="dxa"/>
            <w:shd w:val="clear" w:color="auto" w:fill="92D050"/>
          </w:tcPr>
          <w:p w14:paraId="7A5273C9" w14:textId="53912688" w:rsidR="000C3B67" w:rsidRPr="003960AB" w:rsidRDefault="003960AB" w:rsidP="000C3B67">
            <w:r w:rsidRPr="003960AB">
              <w:t>Er zijn mogelijkheden tot brandstofbesparing bij het transport en hergebruik van materialen. Minder brandstof betekent minder kosten.</w:t>
            </w:r>
          </w:p>
        </w:tc>
      </w:tr>
      <w:tr w:rsidR="000C3B67" w:rsidRPr="003960AB" w14:paraId="47BB79FF" w14:textId="77777777" w:rsidTr="000C3B67">
        <w:tc>
          <w:tcPr>
            <w:tcW w:w="1838" w:type="dxa"/>
          </w:tcPr>
          <w:p w14:paraId="07D3492F" w14:textId="68315AFF" w:rsidR="000C3B67" w:rsidRPr="003960AB" w:rsidRDefault="000C3B67" w:rsidP="000C3B67">
            <w:r w:rsidRPr="003960AB">
              <w:t>Het voorhanden zijn van betrouwbare informatie</w:t>
            </w:r>
          </w:p>
        </w:tc>
        <w:tc>
          <w:tcPr>
            <w:tcW w:w="3612" w:type="dxa"/>
            <w:shd w:val="clear" w:color="auto" w:fill="92D050"/>
          </w:tcPr>
          <w:p w14:paraId="75C4DF1A" w14:textId="24D9E772" w:rsidR="000C3B67" w:rsidRPr="003960AB" w:rsidRDefault="00CE6DA7" w:rsidP="000C3B67">
            <w:r w:rsidRPr="003960AB">
              <w:t>Daniël Pijnacker BV</w:t>
            </w:r>
            <w:r w:rsidR="000C3B67" w:rsidRPr="003960AB">
              <w:t xml:space="preserve"> werkt regelmatig met dezelfde </w:t>
            </w:r>
            <w:r w:rsidR="003960AB" w:rsidRPr="003960AB">
              <w:t xml:space="preserve">leveranciers </w:t>
            </w:r>
            <w:r w:rsidR="000C3B67" w:rsidRPr="003960AB">
              <w:t xml:space="preserve">waardoor alle informatie bereikbaar is. </w:t>
            </w:r>
            <w:r w:rsidR="00D35843" w:rsidRPr="003960AB">
              <w:t xml:space="preserve">Middels </w:t>
            </w:r>
            <w:r w:rsidR="003960AB" w:rsidRPr="003960AB">
              <w:t xml:space="preserve">transportbonnen </w:t>
            </w:r>
            <w:r w:rsidR="00D35843" w:rsidRPr="003960AB">
              <w:t xml:space="preserve">is de hoeveelheid </w:t>
            </w:r>
            <w:r w:rsidR="003960AB" w:rsidRPr="003960AB">
              <w:t>aan</w:t>
            </w:r>
            <w:r w:rsidR="00D35843" w:rsidRPr="003960AB">
              <w:t>gevoerd materiaal en de ritten goed inzichtelijk.</w:t>
            </w:r>
          </w:p>
        </w:tc>
        <w:tc>
          <w:tcPr>
            <w:tcW w:w="3612" w:type="dxa"/>
            <w:shd w:val="clear" w:color="auto" w:fill="92D050"/>
          </w:tcPr>
          <w:p w14:paraId="4FAB5515" w14:textId="1D0B700A" w:rsidR="000C3B67" w:rsidRPr="003960AB" w:rsidRDefault="003960AB" w:rsidP="000C3B67">
            <w:r w:rsidRPr="003960AB">
              <w:t xml:space="preserve">Daniël Pijnacker BV werkt regelmatig met dezelfde </w:t>
            </w:r>
            <w:r>
              <w:t>transporteur</w:t>
            </w:r>
            <w:r w:rsidRPr="003960AB">
              <w:t xml:space="preserve"> waardoor alle informatie bereikbaar is. Middels afleverbonnen is de hoeveelheid afgevoerd materiaal en de ritten goed inzichtelijk.</w:t>
            </w:r>
          </w:p>
        </w:tc>
      </w:tr>
      <w:tr w:rsidR="000C3B67" w:rsidRPr="008D160D" w14:paraId="12F9E51B" w14:textId="77777777" w:rsidTr="000C3B67">
        <w:tc>
          <w:tcPr>
            <w:tcW w:w="1838" w:type="dxa"/>
          </w:tcPr>
          <w:p w14:paraId="7E4404DF" w14:textId="3A6D55CD" w:rsidR="000C3B67" w:rsidRPr="008D160D" w:rsidRDefault="000C3B67" w:rsidP="000C3B67">
            <w:r w:rsidRPr="008D160D">
              <w:t>Potentiële reductiebronnen</w:t>
            </w:r>
          </w:p>
        </w:tc>
        <w:tc>
          <w:tcPr>
            <w:tcW w:w="3612" w:type="dxa"/>
            <w:shd w:val="clear" w:color="auto" w:fill="92D050"/>
          </w:tcPr>
          <w:p w14:paraId="7A73A368" w14:textId="3E37696A" w:rsidR="000C3B67" w:rsidRPr="008D160D" w:rsidRDefault="000C3B67" w:rsidP="000C3B67">
            <w:r w:rsidRPr="008D160D">
              <w:t xml:space="preserve">De keuze van </w:t>
            </w:r>
            <w:r w:rsidR="003960AB" w:rsidRPr="008D160D">
              <w:t xml:space="preserve">leverancier/transporteur </w:t>
            </w:r>
            <w:r w:rsidRPr="008D160D">
              <w:t>(dichter bij projectlocatie) is een mogelijke reductiebron.</w:t>
            </w:r>
          </w:p>
          <w:p w14:paraId="76AA9FCD" w14:textId="77777777" w:rsidR="000C3B67" w:rsidRPr="008D160D" w:rsidRDefault="000C3B67" w:rsidP="000C3B67">
            <w:r w:rsidRPr="008D160D">
              <w:t>Keuze voor transporteurs die rijden op alternatieve brandstoffen.</w:t>
            </w:r>
          </w:p>
          <w:p w14:paraId="223548CC" w14:textId="40C12602" w:rsidR="00D35843" w:rsidRPr="008D160D" w:rsidRDefault="00D35843" w:rsidP="000C3B67">
            <w:r w:rsidRPr="008D160D">
              <w:t>Stimuleren van het rijden van efficiëntere routes.</w:t>
            </w:r>
          </w:p>
        </w:tc>
        <w:tc>
          <w:tcPr>
            <w:tcW w:w="3612" w:type="dxa"/>
            <w:shd w:val="clear" w:color="auto" w:fill="92D050"/>
          </w:tcPr>
          <w:p w14:paraId="127BEC08" w14:textId="54019084" w:rsidR="000C3B67" w:rsidRPr="008D160D" w:rsidRDefault="008D160D" w:rsidP="003960AB">
            <w:r w:rsidRPr="008D160D">
              <w:t>Stimuleren van hergebruik van uitkomende materialen op de projectlocatie</w:t>
            </w:r>
            <w:r>
              <w:t>.</w:t>
            </w:r>
          </w:p>
        </w:tc>
      </w:tr>
      <w:tr w:rsidR="000C3B67" w:rsidRPr="008D160D" w14:paraId="500A9CD2" w14:textId="77777777" w:rsidTr="000C3B67">
        <w:tc>
          <w:tcPr>
            <w:tcW w:w="1838" w:type="dxa"/>
          </w:tcPr>
          <w:p w14:paraId="0C03037C" w14:textId="463695FD" w:rsidR="000C3B67" w:rsidRPr="008D160D" w:rsidRDefault="000C3B67" w:rsidP="000C3B67">
            <w:r w:rsidRPr="008D160D">
              <w:t>Beïnvloedingsmogelijkheden</w:t>
            </w:r>
          </w:p>
        </w:tc>
        <w:tc>
          <w:tcPr>
            <w:tcW w:w="3612" w:type="dxa"/>
            <w:shd w:val="clear" w:color="auto" w:fill="92D050"/>
          </w:tcPr>
          <w:p w14:paraId="527B299E" w14:textId="7C4A934B" w:rsidR="000C3B67" w:rsidRPr="008D160D" w:rsidRDefault="00CE6DA7" w:rsidP="000C3B67">
            <w:r w:rsidRPr="008D160D">
              <w:t>Daniël Pijnacker BV</w:t>
            </w:r>
            <w:r w:rsidR="000C3B67" w:rsidRPr="008D160D">
              <w:t xml:space="preserve"> kan zelf de keuze maken tussen </w:t>
            </w:r>
            <w:r w:rsidR="008D160D" w:rsidRPr="008D160D">
              <w:t xml:space="preserve">leveranciers </w:t>
            </w:r>
            <w:r w:rsidR="000C3B67" w:rsidRPr="008D160D">
              <w:t xml:space="preserve">en eisen stellen dat de </w:t>
            </w:r>
            <w:r w:rsidR="008D160D" w:rsidRPr="008D160D">
              <w:t>leveranciers</w:t>
            </w:r>
            <w:r w:rsidR="000C3B67" w:rsidRPr="008D160D">
              <w:t xml:space="preserve"> met zuinige voertuigen rijden. Hierdoor grote invloed.</w:t>
            </w:r>
          </w:p>
        </w:tc>
        <w:tc>
          <w:tcPr>
            <w:tcW w:w="3612" w:type="dxa"/>
            <w:shd w:val="clear" w:color="auto" w:fill="FFC000"/>
          </w:tcPr>
          <w:p w14:paraId="6AA96271" w14:textId="106E8987" w:rsidR="000C3B67" w:rsidRPr="008D160D" w:rsidRDefault="008D160D" w:rsidP="000C3B67">
            <w:r w:rsidRPr="008D160D">
              <w:t xml:space="preserve">Vrijkomende materialen zijn vaak niet her te gebruiken of er wordt geen toestemming voor gegevens. </w:t>
            </w:r>
          </w:p>
        </w:tc>
      </w:tr>
    </w:tbl>
    <w:p w14:paraId="4ED6C8DF" w14:textId="63CD5041" w:rsidR="00487714" w:rsidRPr="002430BF" w:rsidRDefault="00487714" w:rsidP="00455EA6">
      <w:pPr>
        <w:rPr>
          <w:highlight w:val="yellow"/>
        </w:rPr>
      </w:pPr>
    </w:p>
    <w:p w14:paraId="39C4877E" w14:textId="77777777" w:rsidR="002708C0" w:rsidRPr="008D160D" w:rsidRDefault="002708C0" w:rsidP="002708C0">
      <w:r w:rsidRPr="008D160D">
        <w:t xml:space="preserve">Uitleg beoordelingsmethode: </w:t>
      </w:r>
      <w:r w:rsidRPr="008D160D">
        <w:rPr>
          <w:shd w:val="clear" w:color="auto" w:fill="92D050"/>
        </w:rPr>
        <w:t>Positief</w:t>
      </w:r>
      <w:r w:rsidRPr="008D160D">
        <w:t xml:space="preserve"> / </w:t>
      </w:r>
      <w:r w:rsidRPr="008D160D">
        <w:rPr>
          <w:shd w:val="clear" w:color="auto" w:fill="FFC000"/>
        </w:rPr>
        <w:t>Neutraal</w:t>
      </w:r>
      <w:r w:rsidRPr="008D160D">
        <w:t xml:space="preserve"> / </w:t>
      </w:r>
      <w:r w:rsidRPr="008D160D">
        <w:rPr>
          <w:shd w:val="clear" w:color="auto" w:fill="FF0000"/>
        </w:rPr>
        <w:t>Negatief</w:t>
      </w:r>
    </w:p>
    <w:p w14:paraId="438EB514" w14:textId="77777777" w:rsidR="002708C0" w:rsidRPr="002430BF" w:rsidRDefault="002708C0" w:rsidP="002708C0">
      <w:pPr>
        <w:rPr>
          <w:highlight w:val="yellow"/>
        </w:rPr>
      </w:pPr>
    </w:p>
    <w:p w14:paraId="54C5A4F8" w14:textId="3C90DC38" w:rsidR="002708C0" w:rsidRPr="008D160D" w:rsidRDefault="002708C0" w:rsidP="002708C0">
      <w:r w:rsidRPr="008D160D">
        <w:t xml:space="preserve">Uit bovenstaande beoordeling komt de </w:t>
      </w:r>
      <w:r w:rsidR="009D2F6B" w:rsidRPr="008D160D">
        <w:t xml:space="preserve">ketenanalyse m.b.t. </w:t>
      </w:r>
      <w:r w:rsidR="008D160D" w:rsidRPr="008D160D">
        <w:t xml:space="preserve">transport van ingekochte materialen door derden </w:t>
      </w:r>
      <w:r w:rsidR="003776B8" w:rsidRPr="008D160D">
        <w:t>naar voren</w:t>
      </w:r>
      <w:r w:rsidR="009D2F6B" w:rsidRPr="008D160D">
        <w:t xml:space="preserve"> </w:t>
      </w:r>
      <w:r w:rsidRPr="008D160D">
        <w:t>als beste keus om uit te werken tot een ketenanalyse</w:t>
      </w:r>
      <w:r w:rsidR="009D2F6B" w:rsidRPr="008D160D">
        <w:t>.</w:t>
      </w:r>
      <w:r w:rsidRPr="008D160D">
        <w:t xml:space="preserve"> </w:t>
      </w:r>
      <w:r w:rsidR="003776B8" w:rsidRPr="008D160D">
        <w:t xml:space="preserve">Doorslaggevend </w:t>
      </w:r>
      <w:r w:rsidR="000C7DE1" w:rsidRPr="008D160D">
        <w:t xml:space="preserve">is de mogelijkheid tot beïnvloeding. </w:t>
      </w:r>
    </w:p>
    <w:p w14:paraId="568CC32D" w14:textId="77777777" w:rsidR="002708C0" w:rsidRPr="002430BF" w:rsidRDefault="002708C0" w:rsidP="00455EA6">
      <w:pPr>
        <w:rPr>
          <w:highlight w:val="yellow"/>
        </w:rPr>
      </w:pPr>
    </w:p>
    <w:p w14:paraId="0C3F17C3" w14:textId="77777777" w:rsidR="00487714" w:rsidRPr="002430BF" w:rsidRDefault="00487714" w:rsidP="00455EA6">
      <w:pPr>
        <w:rPr>
          <w:highlight w:val="yellow"/>
        </w:rPr>
      </w:pPr>
    </w:p>
    <w:p w14:paraId="187BCD9B" w14:textId="1AC00CA4" w:rsidR="008E63D1" w:rsidRPr="002430BF" w:rsidRDefault="008E63D1">
      <w:pPr>
        <w:spacing w:after="200"/>
        <w:rPr>
          <w:highlight w:val="yellow"/>
        </w:rPr>
      </w:pPr>
      <w:r w:rsidRPr="002430BF">
        <w:rPr>
          <w:highlight w:val="yellow"/>
        </w:rPr>
        <w:br w:type="page"/>
      </w:r>
    </w:p>
    <w:p w14:paraId="54B19F15" w14:textId="36F2E3E7" w:rsidR="00487714" w:rsidRPr="008D160D" w:rsidRDefault="008E63D1" w:rsidP="008E63D1">
      <w:pPr>
        <w:pStyle w:val="Kop1"/>
      </w:pPr>
      <w:bookmarkStart w:id="9" w:name="_Toc49245514"/>
      <w:r w:rsidRPr="008D160D">
        <w:lastRenderedPageBreak/>
        <w:t>Relevante partijen</w:t>
      </w:r>
      <w:bookmarkEnd w:id="9"/>
    </w:p>
    <w:p w14:paraId="4C3F2142" w14:textId="1FFC3F85" w:rsidR="008E63D1" w:rsidRPr="008D160D" w:rsidRDefault="008E63D1" w:rsidP="00D25A9E">
      <w:r w:rsidRPr="008D160D">
        <w:t xml:space="preserve">Hieronder volgt een overzicht van de meest relevantie partijen die verantwoordelijk zijn voor de uitstoot in scope 3 van </w:t>
      </w:r>
      <w:r w:rsidR="00CE6DA7" w:rsidRPr="008D160D">
        <w:t>Daniël Pijnacker BV</w:t>
      </w:r>
      <w:r w:rsidRPr="008D160D">
        <w:t>. Deze zijn onderverdeeld in verschillende groepen.</w:t>
      </w:r>
    </w:p>
    <w:p w14:paraId="1F1DF175" w14:textId="77777777" w:rsidR="008E63D1" w:rsidRPr="002430BF" w:rsidRDefault="008E63D1" w:rsidP="008E63D1">
      <w:pPr>
        <w:rPr>
          <w:highlight w:val="yellow"/>
        </w:rPr>
      </w:pPr>
    </w:p>
    <w:tbl>
      <w:tblPr>
        <w:tblStyle w:val="Tabelraster"/>
        <w:tblW w:w="0" w:type="auto"/>
        <w:tblLook w:val="04A0" w:firstRow="1" w:lastRow="0" w:firstColumn="1" w:lastColumn="0" w:noHBand="0" w:noVBand="1"/>
      </w:tblPr>
      <w:tblGrid>
        <w:gridCol w:w="2405"/>
        <w:gridCol w:w="6657"/>
      </w:tblGrid>
      <w:tr w:rsidR="008E63D1" w:rsidRPr="008D160D" w14:paraId="0ECEFECF" w14:textId="77777777" w:rsidTr="00941B58">
        <w:tc>
          <w:tcPr>
            <w:tcW w:w="2405" w:type="dxa"/>
            <w:shd w:val="clear" w:color="auto" w:fill="BFBFBF" w:themeFill="background1" w:themeFillShade="BF"/>
          </w:tcPr>
          <w:p w14:paraId="79FBD98F" w14:textId="77777777" w:rsidR="008E63D1" w:rsidRPr="008D160D" w:rsidRDefault="008E63D1" w:rsidP="00487714">
            <w:pPr>
              <w:rPr>
                <w:b/>
              </w:rPr>
            </w:pPr>
            <w:r w:rsidRPr="008D160D">
              <w:rPr>
                <w:b/>
              </w:rPr>
              <w:t>Groep</w:t>
            </w:r>
          </w:p>
          <w:p w14:paraId="1783D7B3" w14:textId="68A41664" w:rsidR="008D160D" w:rsidRPr="008D160D" w:rsidRDefault="008D160D" w:rsidP="00487714">
            <w:pPr>
              <w:rPr>
                <w:b/>
              </w:rPr>
            </w:pPr>
          </w:p>
        </w:tc>
        <w:tc>
          <w:tcPr>
            <w:tcW w:w="6657" w:type="dxa"/>
            <w:shd w:val="clear" w:color="auto" w:fill="BFBFBF" w:themeFill="background1" w:themeFillShade="BF"/>
          </w:tcPr>
          <w:p w14:paraId="37F6B6C9" w14:textId="33E4F832" w:rsidR="008E63D1" w:rsidRPr="008D160D" w:rsidRDefault="008E63D1" w:rsidP="00487714">
            <w:pPr>
              <w:rPr>
                <w:b/>
              </w:rPr>
            </w:pPr>
            <w:r w:rsidRPr="008D160D">
              <w:rPr>
                <w:b/>
              </w:rPr>
              <w:t>Naam bedrijf</w:t>
            </w:r>
          </w:p>
        </w:tc>
      </w:tr>
      <w:tr w:rsidR="008E63D1" w:rsidRPr="008D160D" w14:paraId="6EB7FCCE" w14:textId="77777777" w:rsidTr="002054F3">
        <w:tc>
          <w:tcPr>
            <w:tcW w:w="2405" w:type="dxa"/>
          </w:tcPr>
          <w:p w14:paraId="3612111C" w14:textId="429BC40A" w:rsidR="008E63D1" w:rsidRPr="008D160D" w:rsidRDefault="008E63D1" w:rsidP="00487714">
            <w:bookmarkStart w:id="10" w:name="_Hlk49247165"/>
            <w:r w:rsidRPr="008D160D">
              <w:t>Leveranciers producten</w:t>
            </w:r>
          </w:p>
        </w:tc>
        <w:tc>
          <w:tcPr>
            <w:tcW w:w="6657" w:type="dxa"/>
            <w:shd w:val="clear" w:color="auto" w:fill="auto"/>
          </w:tcPr>
          <w:p w14:paraId="6E2724B4" w14:textId="6ED4FA8D" w:rsidR="008E63D1" w:rsidRPr="008D160D" w:rsidRDefault="008D160D" w:rsidP="00487714">
            <w:r w:rsidRPr="008D160D">
              <w:t>Groot Lemmer BV</w:t>
            </w:r>
          </w:p>
        </w:tc>
      </w:tr>
      <w:tr w:rsidR="008E63D1" w:rsidRPr="008D160D" w14:paraId="2A2F5BEA" w14:textId="77777777" w:rsidTr="002054F3">
        <w:tc>
          <w:tcPr>
            <w:tcW w:w="2405" w:type="dxa"/>
          </w:tcPr>
          <w:p w14:paraId="236A6EF0" w14:textId="77777777" w:rsidR="008E63D1" w:rsidRPr="008D160D" w:rsidRDefault="008E63D1" w:rsidP="00487714"/>
        </w:tc>
        <w:tc>
          <w:tcPr>
            <w:tcW w:w="6657" w:type="dxa"/>
            <w:shd w:val="clear" w:color="auto" w:fill="auto"/>
          </w:tcPr>
          <w:p w14:paraId="452EA9A8" w14:textId="63A19E85" w:rsidR="008E63D1" w:rsidRPr="008D160D" w:rsidRDefault="008D160D" w:rsidP="00487714">
            <w:r w:rsidRPr="008D160D">
              <w:t xml:space="preserve">Prof </w:t>
            </w:r>
            <w:proofErr w:type="spellStart"/>
            <w:r w:rsidRPr="008D160D">
              <w:t>Extru</w:t>
            </w:r>
            <w:proofErr w:type="spellEnd"/>
            <w:r w:rsidRPr="008D160D">
              <w:t xml:space="preserve"> BV</w:t>
            </w:r>
          </w:p>
        </w:tc>
      </w:tr>
      <w:tr w:rsidR="008E63D1" w:rsidRPr="008D160D" w14:paraId="3C183181" w14:textId="77777777" w:rsidTr="002054F3">
        <w:tc>
          <w:tcPr>
            <w:tcW w:w="2405" w:type="dxa"/>
          </w:tcPr>
          <w:p w14:paraId="10179BE8" w14:textId="77777777" w:rsidR="008E63D1" w:rsidRPr="008D160D" w:rsidRDefault="008E63D1" w:rsidP="00487714"/>
        </w:tc>
        <w:tc>
          <w:tcPr>
            <w:tcW w:w="6657" w:type="dxa"/>
            <w:shd w:val="clear" w:color="auto" w:fill="auto"/>
          </w:tcPr>
          <w:p w14:paraId="74C4C721" w14:textId="0BF70F79" w:rsidR="008E63D1" w:rsidRPr="008D160D" w:rsidRDefault="008D160D" w:rsidP="00487714">
            <w:proofErr w:type="spellStart"/>
            <w:r w:rsidRPr="008D160D">
              <w:t>Foreco</w:t>
            </w:r>
            <w:proofErr w:type="spellEnd"/>
          </w:p>
        </w:tc>
      </w:tr>
      <w:tr w:rsidR="008D160D" w:rsidRPr="008D160D" w14:paraId="5D50A0F8" w14:textId="77777777" w:rsidTr="002054F3">
        <w:tc>
          <w:tcPr>
            <w:tcW w:w="2405" w:type="dxa"/>
          </w:tcPr>
          <w:p w14:paraId="28288CB7" w14:textId="77777777" w:rsidR="008D160D" w:rsidRPr="008D160D" w:rsidRDefault="008D160D" w:rsidP="00487714"/>
        </w:tc>
        <w:tc>
          <w:tcPr>
            <w:tcW w:w="6657" w:type="dxa"/>
            <w:shd w:val="clear" w:color="auto" w:fill="auto"/>
          </w:tcPr>
          <w:p w14:paraId="36AB1BA7" w14:textId="7F4C80ED" w:rsidR="008D160D" w:rsidRPr="008D160D" w:rsidRDefault="008D160D" w:rsidP="00487714">
            <w:r w:rsidRPr="008D160D">
              <w:t>Noppert Beton BV</w:t>
            </w:r>
          </w:p>
        </w:tc>
      </w:tr>
      <w:tr w:rsidR="008D160D" w:rsidRPr="008D160D" w14:paraId="47CDDFC6" w14:textId="77777777" w:rsidTr="002054F3">
        <w:tc>
          <w:tcPr>
            <w:tcW w:w="2405" w:type="dxa"/>
          </w:tcPr>
          <w:p w14:paraId="5D49C685" w14:textId="77777777" w:rsidR="008D160D" w:rsidRPr="008D160D" w:rsidRDefault="008D160D" w:rsidP="00487714"/>
        </w:tc>
        <w:tc>
          <w:tcPr>
            <w:tcW w:w="6657" w:type="dxa"/>
            <w:shd w:val="clear" w:color="auto" w:fill="auto"/>
          </w:tcPr>
          <w:p w14:paraId="7251D10D" w14:textId="796D13F8" w:rsidR="008D160D" w:rsidRPr="008D160D" w:rsidRDefault="008D160D" w:rsidP="00487714">
            <w:proofErr w:type="spellStart"/>
            <w:r w:rsidRPr="008D160D">
              <w:t>Wavin</w:t>
            </w:r>
            <w:proofErr w:type="spellEnd"/>
          </w:p>
        </w:tc>
      </w:tr>
      <w:tr w:rsidR="0041687D" w:rsidRPr="008D160D" w14:paraId="783520A3" w14:textId="77777777" w:rsidTr="002054F3">
        <w:tc>
          <w:tcPr>
            <w:tcW w:w="2405" w:type="dxa"/>
          </w:tcPr>
          <w:p w14:paraId="3B43512B" w14:textId="77777777" w:rsidR="0041687D" w:rsidRPr="008D160D" w:rsidRDefault="0041687D" w:rsidP="00487714"/>
        </w:tc>
        <w:tc>
          <w:tcPr>
            <w:tcW w:w="6657" w:type="dxa"/>
            <w:shd w:val="clear" w:color="auto" w:fill="auto"/>
          </w:tcPr>
          <w:p w14:paraId="208DBA69" w14:textId="13A307E4" w:rsidR="0041687D" w:rsidRPr="008D160D" w:rsidRDefault="0041687D" w:rsidP="00487714">
            <w:r w:rsidRPr="008D160D">
              <w:t xml:space="preserve">Recycling Van der </w:t>
            </w:r>
            <w:proofErr w:type="spellStart"/>
            <w:r w:rsidRPr="008D160D">
              <w:t>Galiën</w:t>
            </w:r>
            <w:proofErr w:type="spellEnd"/>
            <w:r>
              <w:t xml:space="preserve"> BV</w:t>
            </w:r>
          </w:p>
        </w:tc>
      </w:tr>
      <w:bookmarkEnd w:id="10"/>
      <w:tr w:rsidR="008D160D" w:rsidRPr="008D160D" w14:paraId="78F29201" w14:textId="77777777" w:rsidTr="002054F3">
        <w:tc>
          <w:tcPr>
            <w:tcW w:w="2405" w:type="dxa"/>
          </w:tcPr>
          <w:p w14:paraId="6E7D16CD" w14:textId="77777777" w:rsidR="008D160D" w:rsidRPr="008D160D" w:rsidRDefault="008D160D" w:rsidP="00487714"/>
        </w:tc>
        <w:tc>
          <w:tcPr>
            <w:tcW w:w="6657" w:type="dxa"/>
            <w:shd w:val="clear" w:color="auto" w:fill="auto"/>
          </w:tcPr>
          <w:p w14:paraId="4FE0AA50" w14:textId="77777777" w:rsidR="008D160D" w:rsidRPr="008D160D" w:rsidRDefault="008D160D" w:rsidP="00487714"/>
        </w:tc>
      </w:tr>
      <w:tr w:rsidR="008E63D1" w:rsidRPr="008D160D" w14:paraId="53AED3C4" w14:textId="77777777" w:rsidTr="002054F3">
        <w:tc>
          <w:tcPr>
            <w:tcW w:w="2405" w:type="dxa"/>
          </w:tcPr>
          <w:p w14:paraId="75E5D73A" w14:textId="47BD81A3" w:rsidR="008E63D1" w:rsidRPr="008D160D" w:rsidRDefault="008E63D1" w:rsidP="00487714">
            <w:r w:rsidRPr="008D160D">
              <w:t>Onderaannemers</w:t>
            </w:r>
          </w:p>
        </w:tc>
        <w:tc>
          <w:tcPr>
            <w:tcW w:w="6657" w:type="dxa"/>
            <w:shd w:val="clear" w:color="auto" w:fill="auto"/>
          </w:tcPr>
          <w:p w14:paraId="0D7EC741" w14:textId="2BFBBF85" w:rsidR="008E63D1" w:rsidRPr="008D160D" w:rsidRDefault="008D160D" w:rsidP="00487714">
            <w:r w:rsidRPr="008D160D">
              <w:t>Van der Wal Bestratingen BV</w:t>
            </w:r>
          </w:p>
        </w:tc>
      </w:tr>
      <w:tr w:rsidR="008D160D" w:rsidRPr="008D160D" w14:paraId="1417BBE0" w14:textId="77777777" w:rsidTr="002054F3">
        <w:tc>
          <w:tcPr>
            <w:tcW w:w="2405" w:type="dxa"/>
          </w:tcPr>
          <w:p w14:paraId="655C9D32" w14:textId="77777777" w:rsidR="008D160D" w:rsidRPr="008D160D" w:rsidRDefault="008D160D" w:rsidP="00487714"/>
        </w:tc>
        <w:tc>
          <w:tcPr>
            <w:tcW w:w="6657" w:type="dxa"/>
            <w:shd w:val="clear" w:color="auto" w:fill="auto"/>
          </w:tcPr>
          <w:p w14:paraId="2D07821F" w14:textId="18F34D5F" w:rsidR="008D160D" w:rsidRPr="008D160D" w:rsidRDefault="008D160D" w:rsidP="00487714">
            <w:r>
              <w:t>Doornbos Bronbemaling BV</w:t>
            </w:r>
          </w:p>
        </w:tc>
      </w:tr>
      <w:tr w:rsidR="008E63D1" w:rsidRPr="002430BF" w14:paraId="28B0E033" w14:textId="77777777" w:rsidTr="002054F3">
        <w:tc>
          <w:tcPr>
            <w:tcW w:w="2405" w:type="dxa"/>
          </w:tcPr>
          <w:p w14:paraId="74FEE728" w14:textId="77777777" w:rsidR="008E63D1" w:rsidRPr="002430BF" w:rsidRDefault="008E63D1" w:rsidP="00487714">
            <w:pPr>
              <w:rPr>
                <w:highlight w:val="yellow"/>
              </w:rPr>
            </w:pPr>
          </w:p>
        </w:tc>
        <w:tc>
          <w:tcPr>
            <w:tcW w:w="6657" w:type="dxa"/>
            <w:shd w:val="clear" w:color="auto" w:fill="auto"/>
          </w:tcPr>
          <w:p w14:paraId="71F6EB61" w14:textId="01EFE2E3" w:rsidR="008E63D1" w:rsidRPr="002430BF" w:rsidRDefault="008E63D1" w:rsidP="00487714">
            <w:pPr>
              <w:rPr>
                <w:highlight w:val="yellow"/>
              </w:rPr>
            </w:pPr>
          </w:p>
        </w:tc>
      </w:tr>
      <w:tr w:rsidR="008E63D1" w:rsidRPr="008D160D" w14:paraId="321393AD" w14:textId="77777777" w:rsidTr="002054F3">
        <w:tc>
          <w:tcPr>
            <w:tcW w:w="2405" w:type="dxa"/>
          </w:tcPr>
          <w:p w14:paraId="26536A8A" w14:textId="7FF79749" w:rsidR="008E63D1" w:rsidRPr="008D160D" w:rsidRDefault="008D160D" w:rsidP="00487714">
            <w:r>
              <w:t>Erkende afvalverwerker</w:t>
            </w:r>
          </w:p>
        </w:tc>
        <w:tc>
          <w:tcPr>
            <w:tcW w:w="6657" w:type="dxa"/>
            <w:shd w:val="clear" w:color="auto" w:fill="auto"/>
          </w:tcPr>
          <w:p w14:paraId="692B02B4" w14:textId="37F12FA7" w:rsidR="008E63D1" w:rsidRPr="008D160D" w:rsidRDefault="008D160D" w:rsidP="00487714">
            <w:r w:rsidRPr="008D160D">
              <w:t xml:space="preserve">Recycling Van der </w:t>
            </w:r>
            <w:proofErr w:type="spellStart"/>
            <w:r w:rsidRPr="008D160D">
              <w:t>Galiën</w:t>
            </w:r>
            <w:proofErr w:type="spellEnd"/>
            <w:r w:rsidR="0041687D">
              <w:t xml:space="preserve"> BV</w:t>
            </w:r>
          </w:p>
        </w:tc>
      </w:tr>
      <w:tr w:rsidR="002054F3" w:rsidRPr="008D160D" w14:paraId="0FC5BD51" w14:textId="77777777" w:rsidTr="002054F3">
        <w:tc>
          <w:tcPr>
            <w:tcW w:w="2405" w:type="dxa"/>
          </w:tcPr>
          <w:p w14:paraId="62EA3E10" w14:textId="77777777" w:rsidR="002054F3" w:rsidRPr="008D160D" w:rsidRDefault="002054F3" w:rsidP="00487714"/>
        </w:tc>
        <w:tc>
          <w:tcPr>
            <w:tcW w:w="6657" w:type="dxa"/>
            <w:shd w:val="clear" w:color="auto" w:fill="auto"/>
          </w:tcPr>
          <w:p w14:paraId="4F5BCC9F" w14:textId="2FE539B6" w:rsidR="002054F3" w:rsidRPr="008D160D" w:rsidRDefault="002054F3" w:rsidP="00487714"/>
        </w:tc>
      </w:tr>
    </w:tbl>
    <w:p w14:paraId="6131E4D3" w14:textId="22A2BF7B" w:rsidR="00487714" w:rsidRPr="008D160D" w:rsidRDefault="00487714" w:rsidP="00487714"/>
    <w:p w14:paraId="5898A095" w14:textId="334D19E0" w:rsidR="008E63D1" w:rsidRPr="008D160D" w:rsidRDefault="008E63D1" w:rsidP="00487714">
      <w:r w:rsidRPr="008D160D">
        <w:t>Voor een inschatting van de CO2  per groep verwijzen we naar het overzicht in hoofdstuk 3 van dit rapport.</w:t>
      </w:r>
    </w:p>
    <w:p w14:paraId="2FE66EAF" w14:textId="3630EDEA" w:rsidR="00941B58" w:rsidRPr="002430BF" w:rsidRDefault="00941B58" w:rsidP="00487714">
      <w:pPr>
        <w:rPr>
          <w:highlight w:val="yellow"/>
        </w:rPr>
      </w:pPr>
    </w:p>
    <w:p w14:paraId="0E2408A5" w14:textId="176C653B" w:rsidR="00941B58" w:rsidRPr="002430BF" w:rsidRDefault="00941B58">
      <w:pPr>
        <w:spacing w:after="200"/>
        <w:rPr>
          <w:highlight w:val="yellow"/>
        </w:rPr>
      </w:pPr>
      <w:r w:rsidRPr="002430BF">
        <w:rPr>
          <w:highlight w:val="yellow"/>
        </w:rPr>
        <w:br w:type="page"/>
      </w:r>
    </w:p>
    <w:p w14:paraId="75197FFD" w14:textId="0F75FB63" w:rsidR="002B2823" w:rsidRPr="008D160D" w:rsidRDefault="009A31B8" w:rsidP="0074209B">
      <w:pPr>
        <w:pStyle w:val="Kop1"/>
      </w:pPr>
      <w:bookmarkStart w:id="11" w:name="_Toc49245515"/>
      <w:r w:rsidRPr="008D160D">
        <w:lastRenderedPageBreak/>
        <w:t>Het k</w:t>
      </w:r>
      <w:r w:rsidR="0061605E" w:rsidRPr="008D160D">
        <w:t>waliteitsmanagementplan</w:t>
      </w:r>
      <w:bookmarkEnd w:id="11"/>
    </w:p>
    <w:p w14:paraId="69523F85" w14:textId="10BBB51C" w:rsidR="009A31B8" w:rsidRPr="008D160D" w:rsidRDefault="009A31B8" w:rsidP="009A31B8">
      <w:pPr>
        <w:pStyle w:val="Kop2"/>
      </w:pPr>
      <w:bookmarkStart w:id="12" w:name="_Toc49245516"/>
      <w:r w:rsidRPr="008D160D">
        <w:t>Vraag 4.A.2 vanuit de CO2-prestatieladder</w:t>
      </w:r>
      <w:bookmarkEnd w:id="12"/>
    </w:p>
    <w:p w14:paraId="0C1FAD9F" w14:textId="04446032" w:rsidR="009A31B8" w:rsidRPr="008D160D" w:rsidRDefault="009A31B8" w:rsidP="009A31B8">
      <w:r w:rsidRPr="008D160D">
        <w:t xml:space="preserve">Doelstelling van een kwaliteitsmanagement plan is dat de emissies op een zo accuraat mogelijke wijze worden gerapporteerd. Zie punt 6.1.1 aangevuld met 6.1.2 van de ISO14064-1standaard en informatie omtrent data management opgenomen in hoofdstuk 10 van de Product Accounting &amp; Reporting Standard, met name punten 4 en 6. Bovenstaande leidt ertoe dat men continue en systematisch streeft naar een verbetering van de data gebruikt voor het opstellen en uitwerken van de emissie-inventaris.  </w:t>
      </w:r>
    </w:p>
    <w:p w14:paraId="4E2B18FB" w14:textId="666A4593" w:rsidR="009A31B8" w:rsidRPr="008D160D" w:rsidRDefault="009A31B8" w:rsidP="009A31B8"/>
    <w:p w14:paraId="15FC03ED" w14:textId="77AB91EA" w:rsidR="009A31B8" w:rsidRPr="008D160D" w:rsidRDefault="009A31B8" w:rsidP="009A31B8">
      <w:pPr>
        <w:pStyle w:val="Kop2"/>
      </w:pPr>
      <w:bookmarkStart w:id="13" w:name="_Toc49245517"/>
      <w:r w:rsidRPr="008D160D">
        <w:t>ISO 14064-1 hoofdstuk 6 GHG inventory quality managemen</w:t>
      </w:r>
      <w:r w:rsidR="00FF64BA" w:rsidRPr="008D160D">
        <w:t>t</w:t>
      </w:r>
      <w:bookmarkEnd w:id="13"/>
    </w:p>
    <w:tbl>
      <w:tblPr>
        <w:tblStyle w:val="Tabelraster"/>
        <w:tblW w:w="0" w:type="auto"/>
        <w:tblLook w:val="04A0" w:firstRow="1" w:lastRow="0" w:firstColumn="1" w:lastColumn="0" w:noHBand="0" w:noVBand="1"/>
      </w:tblPr>
      <w:tblGrid>
        <w:gridCol w:w="421"/>
        <w:gridCol w:w="6520"/>
        <w:gridCol w:w="2121"/>
      </w:tblGrid>
      <w:tr w:rsidR="009A31B8" w:rsidRPr="008D160D" w14:paraId="6D09A4D2" w14:textId="77777777" w:rsidTr="008E63D1">
        <w:trPr>
          <w:tblHeader/>
        </w:trPr>
        <w:tc>
          <w:tcPr>
            <w:tcW w:w="9062" w:type="dxa"/>
            <w:gridSpan w:val="3"/>
            <w:shd w:val="clear" w:color="auto" w:fill="BFBFBF" w:themeFill="background1" w:themeFillShade="BF"/>
          </w:tcPr>
          <w:p w14:paraId="40E3B381" w14:textId="27A8B79F" w:rsidR="009A31B8" w:rsidRPr="008D160D" w:rsidRDefault="009A31B8" w:rsidP="00941B58">
            <w:pPr>
              <w:rPr>
                <w:b/>
              </w:rPr>
            </w:pPr>
            <w:r w:rsidRPr="008D160D">
              <w:rPr>
                <w:b/>
              </w:rPr>
              <w:t xml:space="preserve">The </w:t>
            </w:r>
            <w:proofErr w:type="spellStart"/>
            <w:r w:rsidRPr="008D160D">
              <w:rPr>
                <w:b/>
              </w:rPr>
              <w:t>organization</w:t>
            </w:r>
            <w:proofErr w:type="spellEnd"/>
            <w:r w:rsidRPr="008D160D">
              <w:rPr>
                <w:b/>
              </w:rPr>
              <w:t xml:space="preserve"> </w:t>
            </w:r>
            <w:proofErr w:type="spellStart"/>
            <w:r w:rsidRPr="008D160D">
              <w:rPr>
                <w:b/>
              </w:rPr>
              <w:t>shall</w:t>
            </w:r>
            <w:proofErr w:type="spellEnd"/>
            <w:r w:rsidRPr="008D160D">
              <w:rPr>
                <w:b/>
              </w:rPr>
              <w:t xml:space="preserve"> </w:t>
            </w:r>
            <w:proofErr w:type="spellStart"/>
            <w:r w:rsidRPr="008D160D">
              <w:rPr>
                <w:b/>
              </w:rPr>
              <w:t>establish</w:t>
            </w:r>
            <w:proofErr w:type="spellEnd"/>
            <w:r w:rsidRPr="008D160D">
              <w:rPr>
                <w:b/>
              </w:rPr>
              <w:t xml:space="preserve"> </w:t>
            </w:r>
            <w:proofErr w:type="spellStart"/>
            <w:r w:rsidRPr="008D160D">
              <w:rPr>
                <w:b/>
              </w:rPr>
              <w:t>and</w:t>
            </w:r>
            <w:proofErr w:type="spellEnd"/>
            <w:r w:rsidRPr="008D160D">
              <w:rPr>
                <w:b/>
              </w:rPr>
              <w:t xml:space="preserve"> </w:t>
            </w:r>
            <w:proofErr w:type="spellStart"/>
            <w:r w:rsidRPr="008D160D">
              <w:rPr>
                <w:b/>
              </w:rPr>
              <w:t>maintain</w:t>
            </w:r>
            <w:proofErr w:type="spellEnd"/>
            <w:r w:rsidRPr="008D160D">
              <w:rPr>
                <w:b/>
              </w:rPr>
              <w:t xml:space="preserve"> GHG information management procedures </w:t>
            </w:r>
            <w:proofErr w:type="spellStart"/>
            <w:r w:rsidRPr="008D160D">
              <w:rPr>
                <w:b/>
              </w:rPr>
              <w:t>that</w:t>
            </w:r>
            <w:proofErr w:type="spellEnd"/>
            <w:r w:rsidRPr="008D160D">
              <w:rPr>
                <w:b/>
              </w:rPr>
              <w:t>:</w:t>
            </w:r>
          </w:p>
          <w:p w14:paraId="387EA195" w14:textId="3BAB979A" w:rsidR="009A31B8" w:rsidRPr="008D160D" w:rsidRDefault="009A31B8" w:rsidP="00941B58">
            <w:pPr>
              <w:rPr>
                <w:b/>
              </w:rPr>
            </w:pPr>
          </w:p>
        </w:tc>
      </w:tr>
      <w:tr w:rsidR="009A31B8" w:rsidRPr="008D160D" w14:paraId="047DAEEA" w14:textId="77777777" w:rsidTr="009A31B8">
        <w:tc>
          <w:tcPr>
            <w:tcW w:w="421" w:type="dxa"/>
            <w:shd w:val="clear" w:color="auto" w:fill="F2F2F2" w:themeFill="background1" w:themeFillShade="F2"/>
          </w:tcPr>
          <w:p w14:paraId="2605085F" w14:textId="3292AA30" w:rsidR="009A31B8" w:rsidRPr="008D160D" w:rsidRDefault="009A31B8" w:rsidP="009A31B8">
            <w:pPr>
              <w:jc w:val="center"/>
              <w:rPr>
                <w:i/>
              </w:rPr>
            </w:pPr>
          </w:p>
        </w:tc>
        <w:tc>
          <w:tcPr>
            <w:tcW w:w="6520" w:type="dxa"/>
            <w:shd w:val="clear" w:color="auto" w:fill="F2F2F2" w:themeFill="background1" w:themeFillShade="F2"/>
          </w:tcPr>
          <w:p w14:paraId="2A1EF68F" w14:textId="77F32921" w:rsidR="009A31B8" w:rsidRPr="008D160D" w:rsidRDefault="009A31B8" w:rsidP="00941B58">
            <w:pPr>
              <w:rPr>
                <w:i/>
              </w:rPr>
            </w:pPr>
            <w:r w:rsidRPr="008D160D">
              <w:rPr>
                <w:i/>
              </w:rPr>
              <w:t>Onderdelen</w:t>
            </w:r>
          </w:p>
        </w:tc>
        <w:tc>
          <w:tcPr>
            <w:tcW w:w="2121" w:type="dxa"/>
            <w:shd w:val="clear" w:color="auto" w:fill="F2F2F2" w:themeFill="background1" w:themeFillShade="F2"/>
          </w:tcPr>
          <w:p w14:paraId="00E5A1D2" w14:textId="7360C74E" w:rsidR="009A31B8" w:rsidRPr="008D160D" w:rsidRDefault="009A31B8" w:rsidP="00FF64BA">
            <w:pPr>
              <w:jc w:val="center"/>
              <w:rPr>
                <w:i/>
              </w:rPr>
            </w:pPr>
            <w:r w:rsidRPr="008D160D">
              <w:rPr>
                <w:i/>
              </w:rPr>
              <w:t>Bewijs</w:t>
            </w:r>
          </w:p>
        </w:tc>
      </w:tr>
      <w:tr w:rsidR="009A31B8" w:rsidRPr="008D160D" w14:paraId="6C2BEC87" w14:textId="77777777" w:rsidTr="009A31B8">
        <w:tc>
          <w:tcPr>
            <w:tcW w:w="421" w:type="dxa"/>
          </w:tcPr>
          <w:p w14:paraId="64ABEE45" w14:textId="67672693" w:rsidR="009A31B8" w:rsidRPr="008D160D" w:rsidRDefault="009A31B8" w:rsidP="009A31B8">
            <w:pPr>
              <w:jc w:val="center"/>
            </w:pPr>
            <w:r w:rsidRPr="008D160D">
              <w:t>A</w:t>
            </w:r>
          </w:p>
        </w:tc>
        <w:tc>
          <w:tcPr>
            <w:tcW w:w="6520" w:type="dxa"/>
          </w:tcPr>
          <w:p w14:paraId="32E0B94C" w14:textId="633CD56B" w:rsidR="009A31B8" w:rsidRPr="008D160D" w:rsidRDefault="009A31B8" w:rsidP="009A31B8">
            <w:proofErr w:type="spellStart"/>
            <w:r w:rsidRPr="008D160D">
              <w:t>ensure</w:t>
            </w:r>
            <w:proofErr w:type="spellEnd"/>
            <w:r w:rsidRPr="008D160D">
              <w:t xml:space="preserve"> </w:t>
            </w:r>
            <w:proofErr w:type="spellStart"/>
            <w:r w:rsidRPr="008D160D">
              <w:t>conformance</w:t>
            </w:r>
            <w:proofErr w:type="spellEnd"/>
            <w:r w:rsidRPr="008D160D">
              <w:t xml:space="preserve"> </w:t>
            </w:r>
            <w:proofErr w:type="spellStart"/>
            <w:r w:rsidRPr="008D160D">
              <w:t>with</w:t>
            </w:r>
            <w:proofErr w:type="spellEnd"/>
            <w:r w:rsidRPr="008D160D">
              <w:t xml:space="preserve"> </w:t>
            </w:r>
            <w:proofErr w:type="spellStart"/>
            <w:r w:rsidRPr="008D160D">
              <w:t>the</w:t>
            </w:r>
            <w:proofErr w:type="spellEnd"/>
            <w:r w:rsidRPr="008D160D">
              <w:t xml:space="preserve"> </w:t>
            </w:r>
            <w:proofErr w:type="spellStart"/>
            <w:r w:rsidRPr="008D160D">
              <w:t>principles</w:t>
            </w:r>
            <w:proofErr w:type="spellEnd"/>
            <w:r w:rsidRPr="008D160D">
              <w:t xml:space="preserve"> of </w:t>
            </w:r>
            <w:proofErr w:type="spellStart"/>
            <w:r w:rsidRPr="008D160D">
              <w:t>this</w:t>
            </w:r>
            <w:proofErr w:type="spellEnd"/>
            <w:r w:rsidRPr="008D160D">
              <w:t xml:space="preserve"> part of ISO14064,</w:t>
            </w:r>
          </w:p>
        </w:tc>
        <w:tc>
          <w:tcPr>
            <w:tcW w:w="2121" w:type="dxa"/>
          </w:tcPr>
          <w:p w14:paraId="7231663B" w14:textId="352C20EC" w:rsidR="009A31B8" w:rsidRPr="008D160D" w:rsidRDefault="009A31B8" w:rsidP="00FF64BA">
            <w:pPr>
              <w:jc w:val="center"/>
            </w:pPr>
            <w:r w:rsidRPr="008D160D">
              <w:t>Dit rapport</w:t>
            </w:r>
          </w:p>
        </w:tc>
      </w:tr>
      <w:tr w:rsidR="009A31B8" w:rsidRPr="008D160D" w14:paraId="3AD25DAF" w14:textId="77777777" w:rsidTr="009A31B8">
        <w:tc>
          <w:tcPr>
            <w:tcW w:w="421" w:type="dxa"/>
          </w:tcPr>
          <w:p w14:paraId="6C1DE410" w14:textId="451C3630" w:rsidR="009A31B8" w:rsidRPr="008D160D" w:rsidRDefault="009A31B8" w:rsidP="009A31B8">
            <w:pPr>
              <w:jc w:val="center"/>
            </w:pPr>
            <w:r w:rsidRPr="008D160D">
              <w:t>B</w:t>
            </w:r>
          </w:p>
        </w:tc>
        <w:tc>
          <w:tcPr>
            <w:tcW w:w="6520" w:type="dxa"/>
          </w:tcPr>
          <w:p w14:paraId="51C31EBD" w14:textId="7E568B60" w:rsidR="009A31B8" w:rsidRPr="008D160D" w:rsidRDefault="009A31B8" w:rsidP="009A31B8">
            <w:proofErr w:type="spellStart"/>
            <w:r w:rsidRPr="008D160D">
              <w:t>ensure</w:t>
            </w:r>
            <w:proofErr w:type="spellEnd"/>
            <w:r w:rsidRPr="008D160D">
              <w:t xml:space="preserve"> </w:t>
            </w:r>
            <w:proofErr w:type="spellStart"/>
            <w:r w:rsidRPr="008D160D">
              <w:t>consistency</w:t>
            </w:r>
            <w:proofErr w:type="spellEnd"/>
            <w:r w:rsidRPr="008D160D">
              <w:t xml:space="preserve"> </w:t>
            </w:r>
            <w:proofErr w:type="spellStart"/>
            <w:r w:rsidRPr="008D160D">
              <w:t>with</w:t>
            </w:r>
            <w:proofErr w:type="spellEnd"/>
            <w:r w:rsidRPr="008D160D">
              <w:t xml:space="preserve"> </w:t>
            </w:r>
            <w:proofErr w:type="spellStart"/>
            <w:r w:rsidRPr="008D160D">
              <w:t>the</w:t>
            </w:r>
            <w:proofErr w:type="spellEnd"/>
            <w:r w:rsidRPr="008D160D">
              <w:t xml:space="preserve"> </w:t>
            </w:r>
            <w:proofErr w:type="spellStart"/>
            <w:r w:rsidRPr="008D160D">
              <w:t>intended</w:t>
            </w:r>
            <w:proofErr w:type="spellEnd"/>
            <w:r w:rsidRPr="008D160D">
              <w:t xml:space="preserve"> </w:t>
            </w:r>
            <w:proofErr w:type="spellStart"/>
            <w:r w:rsidRPr="008D160D">
              <w:t>use</w:t>
            </w:r>
            <w:proofErr w:type="spellEnd"/>
            <w:r w:rsidRPr="008D160D">
              <w:t xml:space="preserve"> of </w:t>
            </w:r>
            <w:proofErr w:type="spellStart"/>
            <w:r w:rsidRPr="008D160D">
              <w:t>the</w:t>
            </w:r>
            <w:proofErr w:type="spellEnd"/>
            <w:r w:rsidRPr="008D160D">
              <w:t xml:space="preserve"> GHG </w:t>
            </w:r>
            <w:proofErr w:type="spellStart"/>
            <w:r w:rsidRPr="008D160D">
              <w:t>inventory</w:t>
            </w:r>
            <w:proofErr w:type="spellEnd"/>
            <w:r w:rsidRPr="008D160D">
              <w:t xml:space="preserve">, </w:t>
            </w:r>
          </w:p>
        </w:tc>
        <w:tc>
          <w:tcPr>
            <w:tcW w:w="2121" w:type="dxa"/>
          </w:tcPr>
          <w:p w14:paraId="457F2C46" w14:textId="78F7DA0B" w:rsidR="009A31B8" w:rsidRPr="008D160D" w:rsidRDefault="009A31B8" w:rsidP="00FF64BA">
            <w:pPr>
              <w:jc w:val="center"/>
            </w:pPr>
            <w:r w:rsidRPr="008D160D">
              <w:t>Dit rapport</w:t>
            </w:r>
          </w:p>
        </w:tc>
      </w:tr>
      <w:tr w:rsidR="009A31B8" w:rsidRPr="008D160D" w14:paraId="61FFFD52" w14:textId="77777777" w:rsidTr="009A31B8">
        <w:tc>
          <w:tcPr>
            <w:tcW w:w="421" w:type="dxa"/>
          </w:tcPr>
          <w:p w14:paraId="3360DDC3" w14:textId="2F475D23" w:rsidR="009A31B8" w:rsidRPr="008D160D" w:rsidRDefault="009A31B8" w:rsidP="009A31B8">
            <w:pPr>
              <w:jc w:val="center"/>
            </w:pPr>
            <w:r w:rsidRPr="008D160D">
              <w:t>C</w:t>
            </w:r>
          </w:p>
        </w:tc>
        <w:tc>
          <w:tcPr>
            <w:tcW w:w="6520" w:type="dxa"/>
          </w:tcPr>
          <w:p w14:paraId="26285DDB" w14:textId="7CA45A94" w:rsidR="009A31B8" w:rsidRPr="008D160D" w:rsidRDefault="009A31B8" w:rsidP="009A31B8">
            <w:proofErr w:type="spellStart"/>
            <w:r w:rsidRPr="008D160D">
              <w:t>provide</w:t>
            </w:r>
            <w:proofErr w:type="spellEnd"/>
            <w:r w:rsidRPr="008D160D">
              <w:t xml:space="preserve"> routine </w:t>
            </w:r>
            <w:proofErr w:type="spellStart"/>
            <w:r w:rsidRPr="008D160D">
              <w:t>and</w:t>
            </w:r>
            <w:proofErr w:type="spellEnd"/>
            <w:r w:rsidRPr="008D160D">
              <w:t xml:space="preserve"> consistent checks </w:t>
            </w:r>
            <w:proofErr w:type="spellStart"/>
            <w:r w:rsidRPr="008D160D">
              <w:t>to</w:t>
            </w:r>
            <w:proofErr w:type="spellEnd"/>
            <w:r w:rsidRPr="008D160D">
              <w:t xml:space="preserve"> </w:t>
            </w:r>
            <w:proofErr w:type="spellStart"/>
            <w:r w:rsidRPr="008D160D">
              <w:t>ensure</w:t>
            </w:r>
            <w:proofErr w:type="spellEnd"/>
            <w:r w:rsidRPr="008D160D">
              <w:t xml:space="preserve"> </w:t>
            </w:r>
            <w:proofErr w:type="spellStart"/>
            <w:r w:rsidRPr="008D160D">
              <w:t>accuracy</w:t>
            </w:r>
            <w:proofErr w:type="spellEnd"/>
            <w:r w:rsidRPr="008D160D">
              <w:t xml:space="preserve"> </w:t>
            </w:r>
            <w:proofErr w:type="spellStart"/>
            <w:r w:rsidRPr="008D160D">
              <w:t>and</w:t>
            </w:r>
            <w:proofErr w:type="spellEnd"/>
            <w:r w:rsidRPr="008D160D">
              <w:t xml:space="preserve"> </w:t>
            </w:r>
            <w:proofErr w:type="spellStart"/>
            <w:r w:rsidRPr="008D160D">
              <w:t>completeness</w:t>
            </w:r>
            <w:proofErr w:type="spellEnd"/>
            <w:r w:rsidRPr="008D160D">
              <w:t xml:space="preserve"> of </w:t>
            </w:r>
            <w:proofErr w:type="spellStart"/>
            <w:r w:rsidRPr="008D160D">
              <w:t>the</w:t>
            </w:r>
            <w:proofErr w:type="spellEnd"/>
            <w:r w:rsidRPr="008D160D">
              <w:t xml:space="preserve"> GHG </w:t>
            </w:r>
            <w:proofErr w:type="spellStart"/>
            <w:r w:rsidRPr="008D160D">
              <w:t>inventory</w:t>
            </w:r>
            <w:proofErr w:type="spellEnd"/>
            <w:r w:rsidRPr="008D160D">
              <w:t xml:space="preserve">, </w:t>
            </w:r>
          </w:p>
        </w:tc>
        <w:tc>
          <w:tcPr>
            <w:tcW w:w="2121" w:type="dxa"/>
          </w:tcPr>
          <w:p w14:paraId="75A55021" w14:textId="5774CFCE" w:rsidR="009A31B8" w:rsidRPr="008D160D" w:rsidRDefault="009A31B8" w:rsidP="00FF64BA">
            <w:pPr>
              <w:jc w:val="center"/>
            </w:pPr>
            <w:r w:rsidRPr="008D160D">
              <w:t>Planning</w:t>
            </w:r>
          </w:p>
        </w:tc>
      </w:tr>
      <w:tr w:rsidR="009A31B8" w:rsidRPr="008D160D" w14:paraId="7199C11F" w14:textId="77777777" w:rsidTr="009A31B8">
        <w:tc>
          <w:tcPr>
            <w:tcW w:w="421" w:type="dxa"/>
          </w:tcPr>
          <w:p w14:paraId="34A60C08" w14:textId="10E5CCE4" w:rsidR="009A31B8" w:rsidRPr="008D160D" w:rsidRDefault="009A31B8" w:rsidP="009A31B8">
            <w:pPr>
              <w:jc w:val="center"/>
            </w:pPr>
            <w:r w:rsidRPr="008D160D">
              <w:t>D</w:t>
            </w:r>
          </w:p>
        </w:tc>
        <w:tc>
          <w:tcPr>
            <w:tcW w:w="6520" w:type="dxa"/>
          </w:tcPr>
          <w:p w14:paraId="61284F31" w14:textId="4B36453F" w:rsidR="009A31B8" w:rsidRPr="008D160D" w:rsidRDefault="009A31B8" w:rsidP="009A31B8">
            <w:proofErr w:type="spellStart"/>
            <w:r w:rsidRPr="008D160D">
              <w:t>identify</w:t>
            </w:r>
            <w:proofErr w:type="spellEnd"/>
            <w:r w:rsidRPr="008D160D">
              <w:t xml:space="preserve"> </w:t>
            </w:r>
            <w:proofErr w:type="spellStart"/>
            <w:r w:rsidRPr="008D160D">
              <w:t>and</w:t>
            </w:r>
            <w:proofErr w:type="spellEnd"/>
            <w:r w:rsidRPr="008D160D">
              <w:t xml:space="preserve"> </w:t>
            </w:r>
            <w:proofErr w:type="spellStart"/>
            <w:r w:rsidRPr="008D160D">
              <w:t>address</w:t>
            </w:r>
            <w:proofErr w:type="spellEnd"/>
            <w:r w:rsidRPr="008D160D">
              <w:t xml:space="preserve"> </w:t>
            </w:r>
            <w:proofErr w:type="spellStart"/>
            <w:r w:rsidRPr="008D160D">
              <w:t>errors</w:t>
            </w:r>
            <w:proofErr w:type="spellEnd"/>
            <w:r w:rsidRPr="008D160D">
              <w:t xml:space="preserve"> </w:t>
            </w:r>
            <w:proofErr w:type="spellStart"/>
            <w:r w:rsidRPr="008D160D">
              <w:t>and</w:t>
            </w:r>
            <w:proofErr w:type="spellEnd"/>
            <w:r w:rsidRPr="008D160D">
              <w:t xml:space="preserve"> </w:t>
            </w:r>
            <w:proofErr w:type="spellStart"/>
            <w:r w:rsidRPr="008D160D">
              <w:t>omissions</w:t>
            </w:r>
            <w:proofErr w:type="spellEnd"/>
            <w:r w:rsidRPr="008D160D">
              <w:t>,</w:t>
            </w:r>
          </w:p>
        </w:tc>
        <w:tc>
          <w:tcPr>
            <w:tcW w:w="2121" w:type="dxa"/>
          </w:tcPr>
          <w:p w14:paraId="62730528" w14:textId="73D300E6" w:rsidR="009A31B8" w:rsidRPr="008D160D" w:rsidRDefault="009A31B8" w:rsidP="00FF64BA">
            <w:pPr>
              <w:jc w:val="center"/>
            </w:pPr>
            <w:r w:rsidRPr="008D160D">
              <w:t>Handboek</w:t>
            </w:r>
          </w:p>
        </w:tc>
      </w:tr>
      <w:tr w:rsidR="009A31B8" w:rsidRPr="008D160D" w14:paraId="255C3F6A" w14:textId="77777777" w:rsidTr="009A31B8">
        <w:tc>
          <w:tcPr>
            <w:tcW w:w="421" w:type="dxa"/>
          </w:tcPr>
          <w:p w14:paraId="438D3A09" w14:textId="6552A380" w:rsidR="009A31B8" w:rsidRPr="008D160D" w:rsidRDefault="009A31B8" w:rsidP="009A31B8">
            <w:pPr>
              <w:jc w:val="center"/>
            </w:pPr>
            <w:r w:rsidRPr="008D160D">
              <w:t>E</w:t>
            </w:r>
          </w:p>
        </w:tc>
        <w:tc>
          <w:tcPr>
            <w:tcW w:w="6520" w:type="dxa"/>
          </w:tcPr>
          <w:p w14:paraId="1BF8323B" w14:textId="05D7D171" w:rsidR="009A31B8" w:rsidRPr="008D160D" w:rsidRDefault="009A31B8" w:rsidP="009A31B8">
            <w:r w:rsidRPr="008D160D">
              <w:t xml:space="preserve">document </w:t>
            </w:r>
            <w:proofErr w:type="spellStart"/>
            <w:r w:rsidRPr="008D160D">
              <w:t>and</w:t>
            </w:r>
            <w:proofErr w:type="spellEnd"/>
            <w:r w:rsidRPr="008D160D">
              <w:t xml:space="preserve"> </w:t>
            </w:r>
            <w:proofErr w:type="spellStart"/>
            <w:r w:rsidRPr="008D160D">
              <w:t>archive</w:t>
            </w:r>
            <w:proofErr w:type="spellEnd"/>
            <w:r w:rsidRPr="008D160D">
              <w:t xml:space="preserve"> relevant GHG </w:t>
            </w:r>
            <w:proofErr w:type="spellStart"/>
            <w:r w:rsidRPr="008D160D">
              <w:t>inventory</w:t>
            </w:r>
            <w:proofErr w:type="spellEnd"/>
            <w:r w:rsidRPr="008D160D">
              <w:t xml:space="preserve"> records, </w:t>
            </w:r>
            <w:proofErr w:type="spellStart"/>
            <w:r w:rsidRPr="008D160D">
              <w:t>including</w:t>
            </w:r>
            <w:proofErr w:type="spellEnd"/>
            <w:r w:rsidRPr="008D160D">
              <w:t xml:space="preserve"> information management </w:t>
            </w:r>
            <w:proofErr w:type="spellStart"/>
            <w:r w:rsidRPr="008D160D">
              <w:t>activities</w:t>
            </w:r>
            <w:proofErr w:type="spellEnd"/>
            <w:r w:rsidRPr="008D160D">
              <w:t xml:space="preserve">. </w:t>
            </w:r>
          </w:p>
        </w:tc>
        <w:tc>
          <w:tcPr>
            <w:tcW w:w="2121" w:type="dxa"/>
          </w:tcPr>
          <w:p w14:paraId="1BABB570" w14:textId="27176A70" w:rsidR="009A31B8" w:rsidRPr="008D160D" w:rsidRDefault="00CE6DA7" w:rsidP="00FF64BA">
            <w:pPr>
              <w:jc w:val="center"/>
            </w:pPr>
            <w:r w:rsidRPr="008D160D">
              <w:t>Daniël Pijnacker BV</w:t>
            </w:r>
          </w:p>
        </w:tc>
      </w:tr>
    </w:tbl>
    <w:p w14:paraId="40FDF578" w14:textId="48070378" w:rsidR="009A31B8" w:rsidRPr="008D160D" w:rsidRDefault="009A31B8" w:rsidP="009A31B8"/>
    <w:tbl>
      <w:tblPr>
        <w:tblStyle w:val="Tabelraster"/>
        <w:tblW w:w="0" w:type="auto"/>
        <w:tblLook w:val="04A0" w:firstRow="1" w:lastRow="0" w:firstColumn="1" w:lastColumn="0" w:noHBand="0" w:noVBand="1"/>
      </w:tblPr>
      <w:tblGrid>
        <w:gridCol w:w="421"/>
        <w:gridCol w:w="6520"/>
        <w:gridCol w:w="2121"/>
      </w:tblGrid>
      <w:tr w:rsidR="009A31B8" w:rsidRPr="008D160D" w14:paraId="163DE1FA" w14:textId="77777777" w:rsidTr="008E63D1">
        <w:trPr>
          <w:tblHeader/>
        </w:trPr>
        <w:tc>
          <w:tcPr>
            <w:tcW w:w="9062" w:type="dxa"/>
            <w:gridSpan w:val="3"/>
            <w:shd w:val="clear" w:color="auto" w:fill="BFBFBF" w:themeFill="background1" w:themeFillShade="BF"/>
          </w:tcPr>
          <w:p w14:paraId="1B5F0753" w14:textId="77777777" w:rsidR="009A31B8" w:rsidRPr="008D160D" w:rsidRDefault="009A31B8" w:rsidP="00941B58">
            <w:pPr>
              <w:rPr>
                <w:b/>
              </w:rPr>
            </w:pPr>
            <w:r w:rsidRPr="008D160D">
              <w:rPr>
                <w:b/>
              </w:rPr>
              <w:t xml:space="preserve">The </w:t>
            </w:r>
            <w:proofErr w:type="spellStart"/>
            <w:r w:rsidRPr="008D160D">
              <w:rPr>
                <w:b/>
              </w:rPr>
              <w:t>organization’s</w:t>
            </w:r>
            <w:proofErr w:type="spellEnd"/>
            <w:r w:rsidRPr="008D160D">
              <w:rPr>
                <w:b/>
              </w:rPr>
              <w:t xml:space="preserve"> GHG information management procedures </w:t>
            </w:r>
            <w:proofErr w:type="spellStart"/>
            <w:r w:rsidRPr="008D160D">
              <w:rPr>
                <w:b/>
              </w:rPr>
              <w:t>should</w:t>
            </w:r>
            <w:proofErr w:type="spellEnd"/>
            <w:r w:rsidRPr="008D160D">
              <w:rPr>
                <w:b/>
              </w:rPr>
              <w:t xml:space="preserve"> </w:t>
            </w:r>
            <w:proofErr w:type="spellStart"/>
            <w:r w:rsidRPr="008D160D">
              <w:rPr>
                <w:b/>
              </w:rPr>
              <w:t>consider</w:t>
            </w:r>
            <w:proofErr w:type="spellEnd"/>
            <w:r w:rsidRPr="008D160D">
              <w:rPr>
                <w:b/>
              </w:rPr>
              <w:t xml:space="preserve"> </w:t>
            </w:r>
            <w:proofErr w:type="spellStart"/>
            <w:r w:rsidRPr="008D160D">
              <w:rPr>
                <w:b/>
              </w:rPr>
              <w:t>the</w:t>
            </w:r>
            <w:proofErr w:type="spellEnd"/>
            <w:r w:rsidRPr="008D160D">
              <w:rPr>
                <w:b/>
              </w:rPr>
              <w:t xml:space="preserve"> </w:t>
            </w:r>
            <w:proofErr w:type="spellStart"/>
            <w:r w:rsidRPr="008D160D">
              <w:rPr>
                <w:b/>
              </w:rPr>
              <w:t>following</w:t>
            </w:r>
            <w:proofErr w:type="spellEnd"/>
            <w:r w:rsidRPr="008D160D">
              <w:rPr>
                <w:b/>
              </w:rPr>
              <w:t xml:space="preserve">: </w:t>
            </w:r>
          </w:p>
          <w:p w14:paraId="172F8CEB" w14:textId="6B5E4A8E" w:rsidR="009A31B8" w:rsidRPr="008D160D" w:rsidRDefault="009A31B8" w:rsidP="00941B58">
            <w:pPr>
              <w:rPr>
                <w:b/>
              </w:rPr>
            </w:pPr>
          </w:p>
        </w:tc>
      </w:tr>
      <w:tr w:rsidR="009A31B8" w:rsidRPr="008D160D" w14:paraId="5D19077E" w14:textId="77777777" w:rsidTr="009A31B8">
        <w:tc>
          <w:tcPr>
            <w:tcW w:w="421" w:type="dxa"/>
            <w:shd w:val="clear" w:color="auto" w:fill="F2F2F2" w:themeFill="background1" w:themeFillShade="F2"/>
          </w:tcPr>
          <w:p w14:paraId="5F12E130" w14:textId="77777777" w:rsidR="009A31B8" w:rsidRPr="008D160D" w:rsidRDefault="009A31B8" w:rsidP="00941B58">
            <w:pPr>
              <w:jc w:val="center"/>
              <w:rPr>
                <w:i/>
              </w:rPr>
            </w:pPr>
          </w:p>
        </w:tc>
        <w:tc>
          <w:tcPr>
            <w:tcW w:w="6520" w:type="dxa"/>
            <w:shd w:val="clear" w:color="auto" w:fill="F2F2F2" w:themeFill="background1" w:themeFillShade="F2"/>
          </w:tcPr>
          <w:p w14:paraId="7255DAD2" w14:textId="77777777" w:rsidR="009A31B8" w:rsidRPr="008D160D" w:rsidRDefault="009A31B8" w:rsidP="00941B58">
            <w:pPr>
              <w:rPr>
                <w:i/>
              </w:rPr>
            </w:pPr>
            <w:r w:rsidRPr="008D160D">
              <w:rPr>
                <w:i/>
              </w:rPr>
              <w:t>Onderdelen</w:t>
            </w:r>
          </w:p>
        </w:tc>
        <w:tc>
          <w:tcPr>
            <w:tcW w:w="2121" w:type="dxa"/>
            <w:shd w:val="clear" w:color="auto" w:fill="F2F2F2" w:themeFill="background1" w:themeFillShade="F2"/>
          </w:tcPr>
          <w:p w14:paraId="62B88D7E" w14:textId="77777777" w:rsidR="009A31B8" w:rsidRPr="008D160D" w:rsidRDefault="009A31B8" w:rsidP="00FF64BA">
            <w:pPr>
              <w:jc w:val="center"/>
              <w:rPr>
                <w:i/>
              </w:rPr>
            </w:pPr>
            <w:r w:rsidRPr="008D160D">
              <w:rPr>
                <w:i/>
              </w:rPr>
              <w:t>Bewijs</w:t>
            </w:r>
          </w:p>
        </w:tc>
      </w:tr>
      <w:tr w:rsidR="009A31B8" w:rsidRPr="008D160D" w14:paraId="4C932EDC" w14:textId="77777777" w:rsidTr="009A31B8">
        <w:tc>
          <w:tcPr>
            <w:tcW w:w="421" w:type="dxa"/>
          </w:tcPr>
          <w:p w14:paraId="24415C1E" w14:textId="77777777" w:rsidR="009A31B8" w:rsidRPr="008D160D" w:rsidRDefault="009A31B8" w:rsidP="009A31B8">
            <w:pPr>
              <w:jc w:val="center"/>
            </w:pPr>
            <w:r w:rsidRPr="008D160D">
              <w:t>A</w:t>
            </w:r>
          </w:p>
        </w:tc>
        <w:tc>
          <w:tcPr>
            <w:tcW w:w="6520" w:type="dxa"/>
          </w:tcPr>
          <w:p w14:paraId="7A77C196" w14:textId="1F740D58" w:rsidR="009A31B8" w:rsidRPr="008D160D" w:rsidRDefault="009A31B8" w:rsidP="009A31B8">
            <w:proofErr w:type="spellStart"/>
            <w:r w:rsidRPr="008D160D">
              <w:t>identification</w:t>
            </w:r>
            <w:proofErr w:type="spellEnd"/>
            <w:r w:rsidRPr="008D160D">
              <w:t xml:space="preserve"> </w:t>
            </w:r>
            <w:proofErr w:type="spellStart"/>
            <w:r w:rsidRPr="008D160D">
              <w:t>and</w:t>
            </w:r>
            <w:proofErr w:type="spellEnd"/>
            <w:r w:rsidRPr="008D160D">
              <w:t xml:space="preserve"> review of </w:t>
            </w:r>
            <w:proofErr w:type="spellStart"/>
            <w:r w:rsidRPr="008D160D">
              <w:t>the</w:t>
            </w:r>
            <w:proofErr w:type="spellEnd"/>
            <w:r w:rsidRPr="008D160D">
              <w:t xml:space="preserve"> </w:t>
            </w:r>
            <w:proofErr w:type="spellStart"/>
            <w:r w:rsidRPr="008D160D">
              <w:t>responsibility</w:t>
            </w:r>
            <w:proofErr w:type="spellEnd"/>
            <w:r w:rsidRPr="008D160D">
              <w:t xml:space="preserve"> </w:t>
            </w:r>
            <w:proofErr w:type="spellStart"/>
            <w:r w:rsidRPr="008D160D">
              <w:t>and</w:t>
            </w:r>
            <w:proofErr w:type="spellEnd"/>
            <w:r w:rsidRPr="008D160D">
              <w:t xml:space="preserve"> </w:t>
            </w:r>
            <w:proofErr w:type="spellStart"/>
            <w:r w:rsidRPr="008D160D">
              <w:t>authority</w:t>
            </w:r>
            <w:proofErr w:type="spellEnd"/>
            <w:r w:rsidRPr="008D160D">
              <w:t xml:space="preserve"> of </w:t>
            </w:r>
            <w:proofErr w:type="spellStart"/>
            <w:r w:rsidRPr="008D160D">
              <w:t>those</w:t>
            </w:r>
            <w:proofErr w:type="spellEnd"/>
            <w:r w:rsidRPr="008D160D">
              <w:t xml:space="preserve"> </w:t>
            </w:r>
            <w:proofErr w:type="spellStart"/>
            <w:r w:rsidRPr="008D160D">
              <w:t>responsible</w:t>
            </w:r>
            <w:proofErr w:type="spellEnd"/>
            <w:r w:rsidRPr="008D160D">
              <w:t xml:space="preserve"> </w:t>
            </w:r>
            <w:proofErr w:type="spellStart"/>
            <w:r w:rsidRPr="008D160D">
              <w:t>for</w:t>
            </w:r>
            <w:proofErr w:type="spellEnd"/>
            <w:r w:rsidRPr="008D160D">
              <w:t xml:space="preserve"> GHG </w:t>
            </w:r>
            <w:proofErr w:type="spellStart"/>
            <w:r w:rsidRPr="008D160D">
              <w:t>inventory</w:t>
            </w:r>
            <w:proofErr w:type="spellEnd"/>
            <w:r w:rsidRPr="008D160D">
              <w:t xml:space="preserve"> development;</w:t>
            </w:r>
          </w:p>
        </w:tc>
        <w:tc>
          <w:tcPr>
            <w:tcW w:w="2121" w:type="dxa"/>
          </w:tcPr>
          <w:p w14:paraId="5F4A9DC3" w14:textId="328744C3" w:rsidR="009A31B8" w:rsidRPr="008D160D" w:rsidRDefault="00FF64BA" w:rsidP="00FF64BA">
            <w:pPr>
              <w:jc w:val="center"/>
            </w:pPr>
            <w:r w:rsidRPr="008D160D">
              <w:t>CO2-verantwoordelijke</w:t>
            </w:r>
          </w:p>
        </w:tc>
      </w:tr>
      <w:tr w:rsidR="00FF64BA" w:rsidRPr="008D160D" w14:paraId="12284838" w14:textId="77777777" w:rsidTr="009A31B8">
        <w:tc>
          <w:tcPr>
            <w:tcW w:w="421" w:type="dxa"/>
          </w:tcPr>
          <w:p w14:paraId="457992C6" w14:textId="77777777" w:rsidR="00FF64BA" w:rsidRPr="008D160D" w:rsidRDefault="00FF64BA" w:rsidP="00FF64BA">
            <w:pPr>
              <w:jc w:val="center"/>
            </w:pPr>
            <w:r w:rsidRPr="008D160D">
              <w:t>B</w:t>
            </w:r>
          </w:p>
        </w:tc>
        <w:tc>
          <w:tcPr>
            <w:tcW w:w="6520" w:type="dxa"/>
          </w:tcPr>
          <w:p w14:paraId="6400A280" w14:textId="53A84B32" w:rsidR="00FF64BA" w:rsidRPr="008D160D" w:rsidRDefault="00FF64BA" w:rsidP="00FF64BA">
            <w:proofErr w:type="spellStart"/>
            <w:r w:rsidRPr="008D160D">
              <w:t>identification</w:t>
            </w:r>
            <w:proofErr w:type="spellEnd"/>
            <w:r w:rsidRPr="008D160D">
              <w:t xml:space="preserve">, </w:t>
            </w:r>
            <w:proofErr w:type="spellStart"/>
            <w:r w:rsidRPr="008D160D">
              <w:t>implementation</w:t>
            </w:r>
            <w:proofErr w:type="spellEnd"/>
            <w:r w:rsidRPr="008D160D">
              <w:t xml:space="preserve"> </w:t>
            </w:r>
            <w:proofErr w:type="spellStart"/>
            <w:r w:rsidRPr="008D160D">
              <w:t>and</w:t>
            </w:r>
            <w:proofErr w:type="spellEnd"/>
            <w:r w:rsidRPr="008D160D">
              <w:t xml:space="preserve"> review of </w:t>
            </w:r>
            <w:proofErr w:type="spellStart"/>
            <w:r w:rsidRPr="008D160D">
              <w:t>appropriate</w:t>
            </w:r>
            <w:proofErr w:type="spellEnd"/>
            <w:r w:rsidRPr="008D160D">
              <w:t xml:space="preserve"> training </w:t>
            </w:r>
            <w:proofErr w:type="spellStart"/>
            <w:r w:rsidRPr="008D160D">
              <w:t>for</w:t>
            </w:r>
            <w:proofErr w:type="spellEnd"/>
            <w:r w:rsidRPr="008D160D">
              <w:t xml:space="preserve"> members of </w:t>
            </w:r>
            <w:proofErr w:type="spellStart"/>
            <w:r w:rsidRPr="008D160D">
              <w:t>the</w:t>
            </w:r>
            <w:proofErr w:type="spellEnd"/>
            <w:r w:rsidRPr="008D160D">
              <w:t xml:space="preserve"> </w:t>
            </w:r>
            <w:proofErr w:type="spellStart"/>
            <w:r w:rsidRPr="008D160D">
              <w:t>inventory</w:t>
            </w:r>
            <w:proofErr w:type="spellEnd"/>
            <w:r w:rsidRPr="008D160D">
              <w:t xml:space="preserve"> development team; </w:t>
            </w:r>
          </w:p>
        </w:tc>
        <w:tc>
          <w:tcPr>
            <w:tcW w:w="2121" w:type="dxa"/>
          </w:tcPr>
          <w:p w14:paraId="0766E9E9" w14:textId="28D7B7B8" w:rsidR="00FF64BA" w:rsidRPr="008D160D" w:rsidRDefault="00FF64BA" w:rsidP="00FF64BA">
            <w:pPr>
              <w:jc w:val="center"/>
            </w:pPr>
            <w:r w:rsidRPr="008D160D">
              <w:t>N.v.t.</w:t>
            </w:r>
          </w:p>
        </w:tc>
      </w:tr>
      <w:tr w:rsidR="00FF64BA" w:rsidRPr="008D160D" w14:paraId="444DC919" w14:textId="77777777" w:rsidTr="009A31B8">
        <w:tc>
          <w:tcPr>
            <w:tcW w:w="421" w:type="dxa"/>
          </w:tcPr>
          <w:p w14:paraId="2E674524" w14:textId="77777777" w:rsidR="00FF64BA" w:rsidRPr="008D160D" w:rsidRDefault="00FF64BA" w:rsidP="00FF64BA">
            <w:pPr>
              <w:jc w:val="center"/>
            </w:pPr>
            <w:r w:rsidRPr="008D160D">
              <w:t>C</w:t>
            </w:r>
          </w:p>
        </w:tc>
        <w:tc>
          <w:tcPr>
            <w:tcW w:w="6520" w:type="dxa"/>
          </w:tcPr>
          <w:p w14:paraId="4AD443C7" w14:textId="604A76C2" w:rsidR="00FF64BA" w:rsidRPr="008D160D" w:rsidRDefault="00FF64BA" w:rsidP="00FF64BA">
            <w:proofErr w:type="spellStart"/>
            <w:r w:rsidRPr="008D160D">
              <w:t>identification</w:t>
            </w:r>
            <w:proofErr w:type="spellEnd"/>
            <w:r w:rsidRPr="008D160D">
              <w:t xml:space="preserve"> </w:t>
            </w:r>
            <w:proofErr w:type="spellStart"/>
            <w:r w:rsidRPr="008D160D">
              <w:t>and</w:t>
            </w:r>
            <w:proofErr w:type="spellEnd"/>
            <w:r w:rsidRPr="008D160D">
              <w:t xml:space="preserve"> review of </w:t>
            </w:r>
            <w:proofErr w:type="spellStart"/>
            <w:r w:rsidRPr="008D160D">
              <w:t>organizational</w:t>
            </w:r>
            <w:proofErr w:type="spellEnd"/>
            <w:r w:rsidRPr="008D160D">
              <w:t xml:space="preserve"> </w:t>
            </w:r>
            <w:proofErr w:type="spellStart"/>
            <w:r w:rsidRPr="008D160D">
              <w:t>boundaries</w:t>
            </w:r>
            <w:proofErr w:type="spellEnd"/>
            <w:r w:rsidRPr="008D160D">
              <w:t xml:space="preserve">; </w:t>
            </w:r>
          </w:p>
        </w:tc>
        <w:tc>
          <w:tcPr>
            <w:tcW w:w="2121" w:type="dxa"/>
          </w:tcPr>
          <w:p w14:paraId="4C3910FE" w14:textId="756F16A3" w:rsidR="00FF64BA" w:rsidRPr="008D160D" w:rsidRDefault="00FF64BA" w:rsidP="00FF64BA">
            <w:pPr>
              <w:jc w:val="center"/>
            </w:pPr>
            <w:r w:rsidRPr="008D160D">
              <w:t>Emissie inventaris</w:t>
            </w:r>
          </w:p>
        </w:tc>
      </w:tr>
      <w:tr w:rsidR="00FF64BA" w:rsidRPr="008D160D" w14:paraId="61760D1E" w14:textId="77777777" w:rsidTr="009A31B8">
        <w:tc>
          <w:tcPr>
            <w:tcW w:w="421" w:type="dxa"/>
          </w:tcPr>
          <w:p w14:paraId="7728A257" w14:textId="77777777" w:rsidR="00FF64BA" w:rsidRPr="008D160D" w:rsidRDefault="00FF64BA" w:rsidP="00FF64BA">
            <w:pPr>
              <w:jc w:val="center"/>
            </w:pPr>
            <w:r w:rsidRPr="008D160D">
              <w:t>D</w:t>
            </w:r>
          </w:p>
        </w:tc>
        <w:tc>
          <w:tcPr>
            <w:tcW w:w="6520" w:type="dxa"/>
          </w:tcPr>
          <w:p w14:paraId="6CE8D0C6" w14:textId="46070F57" w:rsidR="00FF64BA" w:rsidRPr="008D160D" w:rsidRDefault="00FF64BA" w:rsidP="00FF64BA">
            <w:proofErr w:type="spellStart"/>
            <w:r w:rsidRPr="008D160D">
              <w:t>identification</w:t>
            </w:r>
            <w:proofErr w:type="spellEnd"/>
            <w:r w:rsidRPr="008D160D">
              <w:t xml:space="preserve"> </w:t>
            </w:r>
            <w:proofErr w:type="spellStart"/>
            <w:r w:rsidRPr="008D160D">
              <w:t>and</w:t>
            </w:r>
            <w:proofErr w:type="spellEnd"/>
            <w:r w:rsidRPr="008D160D">
              <w:t xml:space="preserve"> review of GHG sources </w:t>
            </w:r>
            <w:proofErr w:type="spellStart"/>
            <w:r w:rsidRPr="008D160D">
              <w:t>and</w:t>
            </w:r>
            <w:proofErr w:type="spellEnd"/>
            <w:r w:rsidRPr="008D160D">
              <w:t xml:space="preserve"> </w:t>
            </w:r>
            <w:proofErr w:type="spellStart"/>
            <w:r w:rsidRPr="008D160D">
              <w:t>sinks</w:t>
            </w:r>
            <w:proofErr w:type="spellEnd"/>
            <w:r w:rsidRPr="008D160D">
              <w:t xml:space="preserve">; </w:t>
            </w:r>
          </w:p>
        </w:tc>
        <w:tc>
          <w:tcPr>
            <w:tcW w:w="2121" w:type="dxa"/>
          </w:tcPr>
          <w:p w14:paraId="3A9E2ECC" w14:textId="41C460B4" w:rsidR="00FF64BA" w:rsidRPr="008D160D" w:rsidRDefault="00FF64BA" w:rsidP="00FF64BA">
            <w:pPr>
              <w:jc w:val="center"/>
            </w:pPr>
            <w:r w:rsidRPr="008D160D">
              <w:t>Dit rapport</w:t>
            </w:r>
          </w:p>
        </w:tc>
      </w:tr>
      <w:tr w:rsidR="00FF64BA" w:rsidRPr="008D160D" w14:paraId="06A4EA82" w14:textId="77777777" w:rsidTr="009A31B8">
        <w:tc>
          <w:tcPr>
            <w:tcW w:w="421" w:type="dxa"/>
          </w:tcPr>
          <w:p w14:paraId="08E21CE8" w14:textId="77777777" w:rsidR="00FF64BA" w:rsidRPr="008D160D" w:rsidRDefault="00FF64BA" w:rsidP="00FF64BA">
            <w:pPr>
              <w:jc w:val="center"/>
            </w:pPr>
            <w:r w:rsidRPr="008D160D">
              <w:t>E</w:t>
            </w:r>
          </w:p>
        </w:tc>
        <w:tc>
          <w:tcPr>
            <w:tcW w:w="6520" w:type="dxa"/>
          </w:tcPr>
          <w:p w14:paraId="657B9E0F" w14:textId="496334A2" w:rsidR="00FF64BA" w:rsidRPr="008D160D" w:rsidRDefault="00FF64BA" w:rsidP="00FF64BA">
            <w:proofErr w:type="spellStart"/>
            <w:r w:rsidRPr="008D160D">
              <w:t>selection</w:t>
            </w:r>
            <w:proofErr w:type="spellEnd"/>
            <w:r w:rsidRPr="008D160D">
              <w:t xml:space="preserve"> </w:t>
            </w:r>
            <w:proofErr w:type="spellStart"/>
            <w:r w:rsidRPr="008D160D">
              <w:t>and</w:t>
            </w:r>
            <w:proofErr w:type="spellEnd"/>
            <w:r w:rsidRPr="008D160D">
              <w:t xml:space="preserve"> review of </w:t>
            </w:r>
            <w:proofErr w:type="spellStart"/>
            <w:r w:rsidRPr="008D160D">
              <w:t>quantification</w:t>
            </w:r>
            <w:proofErr w:type="spellEnd"/>
            <w:r w:rsidRPr="008D160D">
              <w:t xml:space="preserve"> </w:t>
            </w:r>
            <w:proofErr w:type="spellStart"/>
            <w:r w:rsidRPr="008D160D">
              <w:t>methodologies</w:t>
            </w:r>
            <w:proofErr w:type="spellEnd"/>
            <w:r w:rsidRPr="008D160D">
              <w:t xml:space="preserve">, </w:t>
            </w:r>
            <w:proofErr w:type="spellStart"/>
            <w:r w:rsidRPr="008D160D">
              <w:t>including</w:t>
            </w:r>
            <w:proofErr w:type="spellEnd"/>
            <w:r w:rsidRPr="008D160D">
              <w:t xml:space="preserve"> GHG </w:t>
            </w:r>
            <w:proofErr w:type="spellStart"/>
            <w:r w:rsidRPr="008D160D">
              <w:t>activity</w:t>
            </w:r>
            <w:proofErr w:type="spellEnd"/>
            <w:r w:rsidRPr="008D160D">
              <w:t xml:space="preserve"> data </w:t>
            </w:r>
            <w:proofErr w:type="spellStart"/>
            <w:r w:rsidRPr="008D160D">
              <w:t>and</w:t>
            </w:r>
            <w:proofErr w:type="spellEnd"/>
            <w:r w:rsidRPr="008D160D">
              <w:t xml:space="preserve"> GHG </w:t>
            </w:r>
            <w:proofErr w:type="spellStart"/>
            <w:r w:rsidRPr="008D160D">
              <w:t>emission</w:t>
            </w:r>
            <w:proofErr w:type="spellEnd"/>
            <w:r w:rsidRPr="008D160D">
              <w:t xml:space="preserve"> </w:t>
            </w:r>
            <w:proofErr w:type="spellStart"/>
            <w:r w:rsidRPr="008D160D">
              <w:t>and</w:t>
            </w:r>
            <w:proofErr w:type="spellEnd"/>
            <w:r w:rsidRPr="008D160D">
              <w:t xml:space="preserve"> </w:t>
            </w:r>
            <w:proofErr w:type="spellStart"/>
            <w:r w:rsidRPr="008D160D">
              <w:t>removal</w:t>
            </w:r>
            <w:proofErr w:type="spellEnd"/>
            <w:r w:rsidRPr="008D160D">
              <w:t xml:space="preserve"> factors </w:t>
            </w:r>
            <w:proofErr w:type="spellStart"/>
            <w:r w:rsidRPr="008D160D">
              <w:t>that</w:t>
            </w:r>
            <w:proofErr w:type="spellEnd"/>
            <w:r w:rsidRPr="008D160D">
              <w:t xml:space="preserve"> are consistent </w:t>
            </w:r>
            <w:proofErr w:type="spellStart"/>
            <w:r w:rsidRPr="008D160D">
              <w:t>with</w:t>
            </w:r>
            <w:proofErr w:type="spellEnd"/>
            <w:r w:rsidRPr="008D160D">
              <w:t xml:space="preserve"> </w:t>
            </w:r>
            <w:proofErr w:type="spellStart"/>
            <w:r w:rsidRPr="008D160D">
              <w:t>the</w:t>
            </w:r>
            <w:proofErr w:type="spellEnd"/>
            <w:r w:rsidRPr="008D160D">
              <w:t xml:space="preserve"> </w:t>
            </w:r>
            <w:proofErr w:type="spellStart"/>
            <w:r w:rsidRPr="008D160D">
              <w:t>intended</w:t>
            </w:r>
            <w:proofErr w:type="spellEnd"/>
            <w:r w:rsidRPr="008D160D">
              <w:t xml:space="preserve"> </w:t>
            </w:r>
            <w:proofErr w:type="spellStart"/>
            <w:r w:rsidRPr="008D160D">
              <w:t>use</w:t>
            </w:r>
            <w:proofErr w:type="spellEnd"/>
            <w:r w:rsidRPr="008D160D">
              <w:t xml:space="preserve"> of </w:t>
            </w:r>
            <w:proofErr w:type="spellStart"/>
            <w:r w:rsidRPr="008D160D">
              <w:t>the</w:t>
            </w:r>
            <w:proofErr w:type="spellEnd"/>
            <w:r w:rsidRPr="008D160D">
              <w:t xml:space="preserve"> GHG </w:t>
            </w:r>
            <w:proofErr w:type="spellStart"/>
            <w:r w:rsidRPr="008D160D">
              <w:t>inventory</w:t>
            </w:r>
            <w:proofErr w:type="spellEnd"/>
            <w:r w:rsidRPr="008D160D">
              <w:t xml:space="preserve">; </w:t>
            </w:r>
          </w:p>
        </w:tc>
        <w:tc>
          <w:tcPr>
            <w:tcW w:w="2121" w:type="dxa"/>
          </w:tcPr>
          <w:p w14:paraId="526BA4FA" w14:textId="25BEAC0A" w:rsidR="00FF64BA" w:rsidRPr="008D160D" w:rsidRDefault="00FF64BA" w:rsidP="00FF64BA">
            <w:pPr>
              <w:jc w:val="center"/>
            </w:pPr>
            <w:r w:rsidRPr="008D160D">
              <w:t>CO2 prestatieladder</w:t>
            </w:r>
          </w:p>
        </w:tc>
      </w:tr>
      <w:tr w:rsidR="00FF64BA" w:rsidRPr="008D160D" w14:paraId="1E226F0F" w14:textId="77777777" w:rsidTr="009A31B8">
        <w:tc>
          <w:tcPr>
            <w:tcW w:w="421" w:type="dxa"/>
          </w:tcPr>
          <w:p w14:paraId="7F683BFB" w14:textId="06ECAB57" w:rsidR="00FF64BA" w:rsidRPr="008D160D" w:rsidRDefault="00FF64BA" w:rsidP="00FF64BA">
            <w:pPr>
              <w:jc w:val="center"/>
            </w:pPr>
            <w:r w:rsidRPr="008D160D">
              <w:t>F</w:t>
            </w:r>
          </w:p>
        </w:tc>
        <w:tc>
          <w:tcPr>
            <w:tcW w:w="6520" w:type="dxa"/>
          </w:tcPr>
          <w:p w14:paraId="5CD20CC2" w14:textId="651BE31F" w:rsidR="00FF64BA" w:rsidRPr="008D160D" w:rsidRDefault="00FF64BA" w:rsidP="00FF64BA">
            <w:r w:rsidRPr="008D160D">
              <w:t xml:space="preserve">a review of </w:t>
            </w:r>
            <w:proofErr w:type="spellStart"/>
            <w:r w:rsidRPr="008D160D">
              <w:t>the</w:t>
            </w:r>
            <w:proofErr w:type="spellEnd"/>
            <w:r w:rsidRPr="008D160D">
              <w:t xml:space="preserve"> </w:t>
            </w:r>
            <w:proofErr w:type="spellStart"/>
            <w:r w:rsidRPr="008D160D">
              <w:t>application</w:t>
            </w:r>
            <w:proofErr w:type="spellEnd"/>
            <w:r w:rsidRPr="008D160D">
              <w:t xml:space="preserve"> of </w:t>
            </w:r>
            <w:proofErr w:type="spellStart"/>
            <w:r w:rsidRPr="008D160D">
              <w:t>quantification</w:t>
            </w:r>
            <w:proofErr w:type="spellEnd"/>
            <w:r w:rsidRPr="008D160D">
              <w:t xml:space="preserve"> </w:t>
            </w:r>
            <w:proofErr w:type="spellStart"/>
            <w:r w:rsidRPr="008D160D">
              <w:t>methodologies</w:t>
            </w:r>
            <w:proofErr w:type="spellEnd"/>
            <w:r w:rsidRPr="008D160D">
              <w:t xml:space="preserve"> </w:t>
            </w:r>
            <w:proofErr w:type="spellStart"/>
            <w:r w:rsidRPr="008D160D">
              <w:t>to</w:t>
            </w:r>
            <w:proofErr w:type="spellEnd"/>
            <w:r w:rsidRPr="008D160D">
              <w:t xml:space="preserve"> </w:t>
            </w:r>
            <w:proofErr w:type="spellStart"/>
            <w:r w:rsidRPr="008D160D">
              <w:t>ensure</w:t>
            </w:r>
            <w:proofErr w:type="spellEnd"/>
            <w:r w:rsidRPr="008D160D">
              <w:t xml:space="preserve"> </w:t>
            </w:r>
            <w:proofErr w:type="spellStart"/>
            <w:r w:rsidRPr="008D160D">
              <w:t>consistency</w:t>
            </w:r>
            <w:proofErr w:type="spellEnd"/>
            <w:r w:rsidRPr="008D160D">
              <w:t xml:space="preserve"> </w:t>
            </w:r>
            <w:proofErr w:type="spellStart"/>
            <w:r w:rsidRPr="008D160D">
              <w:t>across</w:t>
            </w:r>
            <w:proofErr w:type="spellEnd"/>
            <w:r w:rsidRPr="008D160D">
              <w:t xml:space="preserve"> multiple </w:t>
            </w:r>
            <w:proofErr w:type="spellStart"/>
            <w:r w:rsidRPr="008D160D">
              <w:t>facilities</w:t>
            </w:r>
            <w:proofErr w:type="spellEnd"/>
            <w:r w:rsidRPr="008D160D">
              <w:t xml:space="preserve">; </w:t>
            </w:r>
          </w:p>
        </w:tc>
        <w:tc>
          <w:tcPr>
            <w:tcW w:w="2121" w:type="dxa"/>
          </w:tcPr>
          <w:p w14:paraId="014062FF" w14:textId="1EDABC86" w:rsidR="00FF64BA" w:rsidRPr="008D160D" w:rsidRDefault="00FF64BA" w:rsidP="00FF64BA">
            <w:pPr>
              <w:jc w:val="center"/>
            </w:pPr>
            <w:r w:rsidRPr="008D160D">
              <w:t>GER waarden</w:t>
            </w:r>
          </w:p>
        </w:tc>
      </w:tr>
      <w:tr w:rsidR="00FF64BA" w:rsidRPr="008D160D" w14:paraId="1B319E38" w14:textId="77777777" w:rsidTr="009A31B8">
        <w:tc>
          <w:tcPr>
            <w:tcW w:w="421" w:type="dxa"/>
          </w:tcPr>
          <w:p w14:paraId="345DD439" w14:textId="4744B6DA" w:rsidR="00FF64BA" w:rsidRPr="008D160D" w:rsidRDefault="00FF64BA" w:rsidP="00FF64BA">
            <w:pPr>
              <w:jc w:val="center"/>
            </w:pPr>
            <w:r w:rsidRPr="008D160D">
              <w:t>G</w:t>
            </w:r>
          </w:p>
        </w:tc>
        <w:tc>
          <w:tcPr>
            <w:tcW w:w="6520" w:type="dxa"/>
          </w:tcPr>
          <w:p w14:paraId="0EA36793" w14:textId="0251FF2B" w:rsidR="00FF64BA" w:rsidRPr="008D160D" w:rsidRDefault="00FF64BA" w:rsidP="00FF64BA">
            <w:proofErr w:type="spellStart"/>
            <w:r w:rsidRPr="008D160D">
              <w:t>use</w:t>
            </w:r>
            <w:proofErr w:type="spellEnd"/>
            <w:r w:rsidRPr="008D160D">
              <w:t xml:space="preserve">, maintenance </w:t>
            </w:r>
            <w:proofErr w:type="spellStart"/>
            <w:r w:rsidRPr="008D160D">
              <w:t>and</w:t>
            </w:r>
            <w:proofErr w:type="spellEnd"/>
            <w:r w:rsidRPr="008D160D">
              <w:t xml:space="preserve"> </w:t>
            </w:r>
            <w:proofErr w:type="spellStart"/>
            <w:r w:rsidRPr="008D160D">
              <w:t>calibration</w:t>
            </w:r>
            <w:proofErr w:type="spellEnd"/>
            <w:r w:rsidRPr="008D160D">
              <w:t xml:space="preserve"> of </w:t>
            </w:r>
            <w:proofErr w:type="spellStart"/>
            <w:r w:rsidRPr="008D160D">
              <w:t>measurement</w:t>
            </w:r>
            <w:proofErr w:type="spellEnd"/>
            <w:r w:rsidRPr="008D160D">
              <w:t xml:space="preserve"> equipment (</w:t>
            </w:r>
            <w:proofErr w:type="spellStart"/>
            <w:r w:rsidRPr="008D160D">
              <w:t>if</w:t>
            </w:r>
            <w:proofErr w:type="spellEnd"/>
            <w:r w:rsidRPr="008D160D">
              <w:t xml:space="preserve"> </w:t>
            </w:r>
            <w:proofErr w:type="spellStart"/>
            <w:r w:rsidRPr="008D160D">
              <w:t>applicable</w:t>
            </w:r>
            <w:proofErr w:type="spellEnd"/>
            <w:r w:rsidRPr="008D160D">
              <w:t xml:space="preserve">); </w:t>
            </w:r>
          </w:p>
        </w:tc>
        <w:tc>
          <w:tcPr>
            <w:tcW w:w="2121" w:type="dxa"/>
          </w:tcPr>
          <w:p w14:paraId="2DC93637" w14:textId="487F1FB2" w:rsidR="00FF64BA" w:rsidRPr="008D160D" w:rsidRDefault="00FF64BA" w:rsidP="00FF64BA">
            <w:pPr>
              <w:jc w:val="center"/>
            </w:pPr>
            <w:r w:rsidRPr="008D160D">
              <w:t>Dit rapport</w:t>
            </w:r>
          </w:p>
        </w:tc>
      </w:tr>
      <w:tr w:rsidR="00FF64BA" w:rsidRPr="008D160D" w14:paraId="55FB11EC" w14:textId="77777777" w:rsidTr="009A31B8">
        <w:tc>
          <w:tcPr>
            <w:tcW w:w="421" w:type="dxa"/>
          </w:tcPr>
          <w:p w14:paraId="46BFDE3E" w14:textId="42B1F50B" w:rsidR="00FF64BA" w:rsidRPr="008D160D" w:rsidRDefault="00FF64BA" w:rsidP="00FF64BA">
            <w:pPr>
              <w:jc w:val="center"/>
            </w:pPr>
            <w:r w:rsidRPr="008D160D">
              <w:t>H</w:t>
            </w:r>
          </w:p>
        </w:tc>
        <w:tc>
          <w:tcPr>
            <w:tcW w:w="6520" w:type="dxa"/>
          </w:tcPr>
          <w:p w14:paraId="49BDC6EA" w14:textId="73FCE443" w:rsidR="00FF64BA" w:rsidRPr="008D160D" w:rsidRDefault="00FF64BA" w:rsidP="00FF64BA">
            <w:r w:rsidRPr="008D160D">
              <w:t xml:space="preserve">development </w:t>
            </w:r>
            <w:proofErr w:type="spellStart"/>
            <w:r w:rsidRPr="008D160D">
              <w:t>and</w:t>
            </w:r>
            <w:proofErr w:type="spellEnd"/>
            <w:r w:rsidRPr="008D160D">
              <w:t xml:space="preserve"> maintenance of a </w:t>
            </w:r>
            <w:proofErr w:type="spellStart"/>
            <w:r w:rsidRPr="008D160D">
              <w:t>robust</w:t>
            </w:r>
            <w:proofErr w:type="spellEnd"/>
            <w:r w:rsidRPr="008D160D">
              <w:t xml:space="preserve"> data-</w:t>
            </w:r>
            <w:proofErr w:type="spellStart"/>
            <w:r w:rsidRPr="008D160D">
              <w:t>collection</w:t>
            </w:r>
            <w:proofErr w:type="spellEnd"/>
            <w:r w:rsidRPr="008D160D">
              <w:t xml:space="preserve"> system; </w:t>
            </w:r>
          </w:p>
        </w:tc>
        <w:tc>
          <w:tcPr>
            <w:tcW w:w="2121" w:type="dxa"/>
          </w:tcPr>
          <w:p w14:paraId="1084E969" w14:textId="4FEFC049" w:rsidR="00FF64BA" w:rsidRPr="008D160D" w:rsidRDefault="00FF64BA" w:rsidP="00FF64BA">
            <w:pPr>
              <w:jc w:val="center"/>
            </w:pPr>
            <w:r w:rsidRPr="008D160D">
              <w:t>Dit rapport</w:t>
            </w:r>
          </w:p>
        </w:tc>
      </w:tr>
      <w:tr w:rsidR="00FF64BA" w:rsidRPr="008D160D" w14:paraId="0668DB27" w14:textId="77777777" w:rsidTr="009A31B8">
        <w:tc>
          <w:tcPr>
            <w:tcW w:w="421" w:type="dxa"/>
          </w:tcPr>
          <w:p w14:paraId="480CFEC5" w14:textId="72A584C3" w:rsidR="00FF64BA" w:rsidRPr="008D160D" w:rsidRDefault="00FF64BA" w:rsidP="00FF64BA">
            <w:pPr>
              <w:jc w:val="center"/>
            </w:pPr>
            <w:r w:rsidRPr="008D160D">
              <w:t>I</w:t>
            </w:r>
          </w:p>
        </w:tc>
        <w:tc>
          <w:tcPr>
            <w:tcW w:w="6520" w:type="dxa"/>
          </w:tcPr>
          <w:p w14:paraId="35969539" w14:textId="0E89BC05" w:rsidR="00FF64BA" w:rsidRPr="008D160D" w:rsidRDefault="00FF64BA" w:rsidP="00FF64BA">
            <w:proofErr w:type="spellStart"/>
            <w:r w:rsidRPr="008D160D">
              <w:t>regular</w:t>
            </w:r>
            <w:proofErr w:type="spellEnd"/>
            <w:r w:rsidRPr="008D160D">
              <w:t xml:space="preserve"> </w:t>
            </w:r>
            <w:proofErr w:type="spellStart"/>
            <w:r w:rsidRPr="008D160D">
              <w:t>accuracy</w:t>
            </w:r>
            <w:proofErr w:type="spellEnd"/>
            <w:r w:rsidRPr="008D160D">
              <w:t xml:space="preserve"> checks; </w:t>
            </w:r>
          </w:p>
        </w:tc>
        <w:tc>
          <w:tcPr>
            <w:tcW w:w="2121" w:type="dxa"/>
          </w:tcPr>
          <w:p w14:paraId="6CE77463" w14:textId="3BB09B71" w:rsidR="00FF64BA" w:rsidRPr="008D160D" w:rsidRDefault="00FF64BA" w:rsidP="00FF64BA">
            <w:pPr>
              <w:jc w:val="center"/>
            </w:pPr>
            <w:r w:rsidRPr="008D160D">
              <w:t>Planning</w:t>
            </w:r>
          </w:p>
        </w:tc>
      </w:tr>
      <w:tr w:rsidR="00FF64BA" w:rsidRPr="008D160D" w14:paraId="08B5B208" w14:textId="77777777" w:rsidTr="009A31B8">
        <w:tc>
          <w:tcPr>
            <w:tcW w:w="421" w:type="dxa"/>
          </w:tcPr>
          <w:p w14:paraId="570C8095" w14:textId="75669805" w:rsidR="00FF64BA" w:rsidRPr="008D160D" w:rsidRDefault="00FF64BA" w:rsidP="00FF64BA">
            <w:pPr>
              <w:jc w:val="center"/>
            </w:pPr>
            <w:r w:rsidRPr="008D160D">
              <w:t>J</w:t>
            </w:r>
          </w:p>
        </w:tc>
        <w:tc>
          <w:tcPr>
            <w:tcW w:w="6520" w:type="dxa"/>
          </w:tcPr>
          <w:p w14:paraId="15ADC9C5" w14:textId="393081CC" w:rsidR="00FF64BA" w:rsidRPr="008D160D" w:rsidRDefault="00FF64BA" w:rsidP="00FF64BA">
            <w:proofErr w:type="spellStart"/>
            <w:r w:rsidRPr="008D160D">
              <w:t>periodic</w:t>
            </w:r>
            <w:proofErr w:type="spellEnd"/>
            <w:r w:rsidRPr="008D160D">
              <w:t xml:space="preserve"> </w:t>
            </w:r>
            <w:proofErr w:type="spellStart"/>
            <w:r w:rsidRPr="008D160D">
              <w:t>internal</w:t>
            </w:r>
            <w:proofErr w:type="spellEnd"/>
            <w:r w:rsidRPr="008D160D">
              <w:t xml:space="preserve"> audits </w:t>
            </w:r>
            <w:proofErr w:type="spellStart"/>
            <w:r w:rsidRPr="008D160D">
              <w:t>and</w:t>
            </w:r>
            <w:proofErr w:type="spellEnd"/>
            <w:r w:rsidRPr="008D160D">
              <w:t xml:space="preserve"> </w:t>
            </w:r>
            <w:proofErr w:type="spellStart"/>
            <w:r w:rsidRPr="008D160D">
              <w:t>technical</w:t>
            </w:r>
            <w:proofErr w:type="spellEnd"/>
            <w:r w:rsidRPr="008D160D">
              <w:t xml:space="preserve"> reviews; </w:t>
            </w:r>
          </w:p>
        </w:tc>
        <w:tc>
          <w:tcPr>
            <w:tcW w:w="2121" w:type="dxa"/>
          </w:tcPr>
          <w:p w14:paraId="472244C9" w14:textId="01481F9D" w:rsidR="00FF64BA" w:rsidRPr="008D160D" w:rsidRDefault="00FF64BA" w:rsidP="00FF64BA">
            <w:pPr>
              <w:jc w:val="center"/>
            </w:pPr>
            <w:r w:rsidRPr="008D160D">
              <w:t>Interne energie audit</w:t>
            </w:r>
          </w:p>
        </w:tc>
      </w:tr>
      <w:tr w:rsidR="00FF64BA" w14:paraId="5FC9A86D" w14:textId="77777777" w:rsidTr="009A31B8">
        <w:tc>
          <w:tcPr>
            <w:tcW w:w="421" w:type="dxa"/>
          </w:tcPr>
          <w:p w14:paraId="37529B6B" w14:textId="121485FE" w:rsidR="00FF64BA" w:rsidRPr="008D160D" w:rsidRDefault="00FF64BA" w:rsidP="00FF64BA">
            <w:pPr>
              <w:jc w:val="center"/>
            </w:pPr>
            <w:r w:rsidRPr="008D160D">
              <w:t>K</w:t>
            </w:r>
          </w:p>
        </w:tc>
        <w:tc>
          <w:tcPr>
            <w:tcW w:w="6520" w:type="dxa"/>
          </w:tcPr>
          <w:p w14:paraId="772138E6" w14:textId="7BFA49C6" w:rsidR="00FF64BA" w:rsidRPr="008D160D" w:rsidRDefault="00FF64BA" w:rsidP="00FF64BA">
            <w:r w:rsidRPr="008D160D">
              <w:t xml:space="preserve">a </w:t>
            </w:r>
            <w:proofErr w:type="spellStart"/>
            <w:r w:rsidRPr="008D160D">
              <w:t>periodic</w:t>
            </w:r>
            <w:proofErr w:type="spellEnd"/>
            <w:r w:rsidRPr="008D160D">
              <w:t xml:space="preserve"> review of </w:t>
            </w:r>
            <w:proofErr w:type="spellStart"/>
            <w:r w:rsidRPr="008D160D">
              <w:t>opportunities</w:t>
            </w:r>
            <w:proofErr w:type="spellEnd"/>
            <w:r w:rsidRPr="008D160D">
              <w:t xml:space="preserve"> </w:t>
            </w:r>
            <w:proofErr w:type="spellStart"/>
            <w:r w:rsidRPr="008D160D">
              <w:t>to</w:t>
            </w:r>
            <w:proofErr w:type="spellEnd"/>
            <w:r w:rsidRPr="008D160D">
              <w:t xml:space="preserve"> </w:t>
            </w:r>
            <w:proofErr w:type="spellStart"/>
            <w:r w:rsidRPr="008D160D">
              <w:t>improve</w:t>
            </w:r>
            <w:proofErr w:type="spellEnd"/>
            <w:r w:rsidRPr="008D160D">
              <w:t xml:space="preserve"> information management </w:t>
            </w:r>
            <w:proofErr w:type="spellStart"/>
            <w:r w:rsidRPr="008D160D">
              <w:t>processes</w:t>
            </w:r>
            <w:proofErr w:type="spellEnd"/>
            <w:r w:rsidRPr="008D160D">
              <w:t xml:space="preserve">. </w:t>
            </w:r>
          </w:p>
        </w:tc>
        <w:tc>
          <w:tcPr>
            <w:tcW w:w="2121" w:type="dxa"/>
          </w:tcPr>
          <w:p w14:paraId="5090D860" w14:textId="422DDD4C" w:rsidR="00FF64BA" w:rsidRDefault="00FF64BA" w:rsidP="00FF64BA">
            <w:pPr>
              <w:jc w:val="center"/>
            </w:pPr>
            <w:r w:rsidRPr="008D160D">
              <w:t>Interne energie audit</w:t>
            </w:r>
          </w:p>
        </w:tc>
      </w:tr>
    </w:tbl>
    <w:p w14:paraId="501CEC82" w14:textId="77777777" w:rsidR="009A31B8" w:rsidRPr="009A31B8" w:rsidRDefault="009A31B8" w:rsidP="009A31B8"/>
    <w:p w14:paraId="08E66F1F" w14:textId="77777777" w:rsidR="00B552F7" w:rsidRDefault="00B552F7" w:rsidP="00B552F7"/>
    <w:p w14:paraId="0B41A8AB" w14:textId="77777777" w:rsidR="00A66600" w:rsidRPr="00B552F7" w:rsidRDefault="00A66600" w:rsidP="00B552F7"/>
    <w:sectPr w:rsidR="00A66600" w:rsidRPr="00B552F7" w:rsidSect="000D0ABB">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7DB16" w14:textId="77777777" w:rsidR="009114B0" w:rsidRDefault="009114B0" w:rsidP="00E432FC">
      <w:r>
        <w:separator/>
      </w:r>
    </w:p>
  </w:endnote>
  <w:endnote w:type="continuationSeparator" w:id="0">
    <w:p w14:paraId="6A9CDDB0" w14:textId="77777777" w:rsidR="009114B0" w:rsidRDefault="009114B0" w:rsidP="00E4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2FE9" w14:textId="77777777" w:rsidR="00AA5B6A" w:rsidRDefault="00AA5B6A" w:rsidP="00E432FC">
    <w:pPr>
      <w:pStyle w:val="Voettekst"/>
    </w:pPr>
  </w:p>
  <w:p w14:paraId="581309FC" w14:textId="77777777" w:rsidR="00AA5B6A" w:rsidRDefault="00AA5B6A" w:rsidP="00E432FC">
    <w:pPr>
      <w:pStyle w:val="Voettekst"/>
    </w:pPr>
  </w:p>
  <w:p w14:paraId="6D72EAA0" w14:textId="5C588B28" w:rsidR="00AA5B6A" w:rsidRPr="00E432FC" w:rsidRDefault="00AA5B6A" w:rsidP="00E432FC">
    <w:pPr>
      <w:pStyle w:val="Voettekst"/>
      <w:pBdr>
        <w:top w:val="single" w:sz="4" w:space="1" w:color="auto"/>
      </w:pBdr>
      <w:rPr>
        <w:color w:val="BFBFBF" w:themeColor="background1" w:themeShade="BF"/>
      </w:rPr>
    </w:pPr>
    <w:r w:rsidRPr="00E432FC">
      <w:rPr>
        <w:color w:val="BFBFBF" w:themeColor="background1" w:themeShade="BF"/>
      </w:rPr>
      <w:tab/>
      <w:t xml:space="preserve">Pagina </w:t>
    </w:r>
    <w:r w:rsidRPr="00E432FC">
      <w:rPr>
        <w:color w:val="BFBFBF" w:themeColor="background1" w:themeShade="BF"/>
      </w:rPr>
      <w:fldChar w:fldCharType="begin"/>
    </w:r>
    <w:r w:rsidRPr="00E432FC">
      <w:rPr>
        <w:color w:val="BFBFBF" w:themeColor="background1" w:themeShade="BF"/>
      </w:rPr>
      <w:instrText xml:space="preserve"> PAGE   \* MERGEFORMAT </w:instrText>
    </w:r>
    <w:r w:rsidRPr="00E432FC">
      <w:rPr>
        <w:color w:val="BFBFBF" w:themeColor="background1" w:themeShade="BF"/>
      </w:rPr>
      <w:fldChar w:fldCharType="separate"/>
    </w:r>
    <w:r w:rsidR="00A72AA9">
      <w:rPr>
        <w:noProof/>
        <w:color w:val="BFBFBF" w:themeColor="background1" w:themeShade="BF"/>
      </w:rPr>
      <w:t>2</w:t>
    </w:r>
    <w:r w:rsidRPr="00E432FC">
      <w:rPr>
        <w:color w:val="BFBFBF" w:themeColor="background1" w:themeShade="BF"/>
      </w:rPr>
      <w:fldChar w:fldCharType="end"/>
    </w:r>
    <w:r w:rsidRPr="00E432FC">
      <w:rPr>
        <w:color w:val="BFBFBF" w:themeColor="background1" w:themeShade="BF"/>
      </w:rPr>
      <w:t xml:space="preserve"> van </w:t>
    </w:r>
    <w:r w:rsidRPr="00E432FC">
      <w:rPr>
        <w:color w:val="BFBFBF" w:themeColor="background1" w:themeShade="BF"/>
      </w:rPr>
      <w:fldChar w:fldCharType="begin"/>
    </w:r>
    <w:r w:rsidRPr="00E432FC">
      <w:rPr>
        <w:color w:val="BFBFBF" w:themeColor="background1" w:themeShade="BF"/>
      </w:rPr>
      <w:instrText xml:space="preserve"> NUMPAGES   \* MERGEFORMAT </w:instrText>
    </w:r>
    <w:r w:rsidRPr="00E432FC">
      <w:rPr>
        <w:color w:val="BFBFBF" w:themeColor="background1" w:themeShade="BF"/>
      </w:rPr>
      <w:fldChar w:fldCharType="separate"/>
    </w:r>
    <w:r w:rsidR="00A72AA9">
      <w:rPr>
        <w:noProof/>
        <w:color w:val="BFBFBF" w:themeColor="background1" w:themeShade="BF"/>
      </w:rPr>
      <w:t>10</w:t>
    </w:r>
    <w:r w:rsidRPr="00E432FC">
      <w:rPr>
        <w:color w:val="BFBFBF" w:themeColor="background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AA5B6A" w:rsidRPr="002430BF" w14:paraId="368E04F8" w14:textId="77777777" w:rsidTr="00941B58">
      <w:trPr>
        <w:trHeight w:val="284"/>
      </w:trPr>
      <w:tc>
        <w:tcPr>
          <w:tcW w:w="9062" w:type="dxa"/>
          <w:gridSpan w:val="3"/>
          <w:tcBorders>
            <w:bottom w:val="single" w:sz="8" w:space="0" w:color="auto"/>
          </w:tcBorders>
        </w:tcPr>
        <w:p w14:paraId="68FC6A7C" w14:textId="6D1EB302" w:rsidR="00AA5B6A" w:rsidRPr="002430BF" w:rsidRDefault="00AA5B6A" w:rsidP="00487714">
          <w:pPr>
            <w:rPr>
              <w:b/>
              <w:sz w:val="32"/>
              <w:szCs w:val="32"/>
            </w:rPr>
          </w:pPr>
          <w:r w:rsidRPr="002430BF">
            <w:rPr>
              <w:b/>
              <w:sz w:val="32"/>
              <w:szCs w:val="32"/>
            </w:rPr>
            <w:t>Daniël Pijnacker BV</w:t>
          </w:r>
        </w:p>
      </w:tc>
    </w:tr>
    <w:tr w:rsidR="00AA5B6A" w:rsidRPr="002430BF" w14:paraId="103220CE" w14:textId="77777777" w:rsidTr="00941B58">
      <w:trPr>
        <w:trHeight w:val="20"/>
      </w:trPr>
      <w:tc>
        <w:tcPr>
          <w:tcW w:w="9062" w:type="dxa"/>
          <w:gridSpan w:val="3"/>
          <w:tcBorders>
            <w:top w:val="single" w:sz="8" w:space="0" w:color="auto"/>
          </w:tcBorders>
        </w:tcPr>
        <w:p w14:paraId="0161637B" w14:textId="77777777" w:rsidR="00AA5B6A" w:rsidRPr="002430BF" w:rsidRDefault="00AA5B6A" w:rsidP="00487714">
          <w:pPr>
            <w:rPr>
              <w:sz w:val="6"/>
              <w:szCs w:val="6"/>
            </w:rPr>
          </w:pPr>
        </w:p>
      </w:tc>
    </w:tr>
    <w:tr w:rsidR="00AA5B6A" w:rsidRPr="002430BF" w14:paraId="564CF5D4" w14:textId="77777777" w:rsidTr="00941B58">
      <w:trPr>
        <w:trHeight w:val="284"/>
      </w:trPr>
      <w:tc>
        <w:tcPr>
          <w:tcW w:w="3020" w:type="dxa"/>
        </w:tcPr>
        <w:p w14:paraId="6E213E60" w14:textId="4D393FCB" w:rsidR="00AA5B6A" w:rsidRPr="002430BF" w:rsidRDefault="00AA5B6A" w:rsidP="00487714">
          <w:r w:rsidRPr="002430BF">
            <w:rPr>
              <w:b/>
            </w:rPr>
            <w:t>Tel</w:t>
          </w:r>
          <w:r w:rsidRPr="002430BF">
            <w:t xml:space="preserve"> 0511 - 45 14 64</w:t>
          </w:r>
        </w:p>
      </w:tc>
      <w:tc>
        <w:tcPr>
          <w:tcW w:w="3021" w:type="dxa"/>
        </w:tcPr>
        <w:p w14:paraId="0C62CF6B" w14:textId="4B4DA231" w:rsidR="00AA5B6A" w:rsidRPr="002430BF" w:rsidRDefault="00AA5B6A" w:rsidP="00487714">
          <w:proofErr w:type="spellStart"/>
          <w:r w:rsidRPr="002430BF">
            <w:t>Phaesmaweg</w:t>
          </w:r>
          <w:proofErr w:type="spellEnd"/>
          <w:r w:rsidRPr="002430BF">
            <w:t xml:space="preserve"> 15</w:t>
          </w:r>
        </w:p>
      </w:tc>
      <w:tc>
        <w:tcPr>
          <w:tcW w:w="3021" w:type="dxa"/>
        </w:tcPr>
        <w:p w14:paraId="45BBF258" w14:textId="7699B439" w:rsidR="00AA5B6A" w:rsidRPr="002430BF" w:rsidRDefault="00AA5B6A" w:rsidP="00487714">
          <w:r w:rsidRPr="002430BF">
            <w:t>www.danielpijnackerbv.nl</w:t>
          </w:r>
        </w:p>
      </w:tc>
    </w:tr>
    <w:tr w:rsidR="00AA5B6A" w:rsidRPr="002430BF" w14:paraId="24D12C1F" w14:textId="77777777" w:rsidTr="00941B58">
      <w:trPr>
        <w:trHeight w:val="284"/>
      </w:trPr>
      <w:tc>
        <w:tcPr>
          <w:tcW w:w="3020" w:type="dxa"/>
        </w:tcPr>
        <w:p w14:paraId="617FBA61" w14:textId="496591FA" w:rsidR="00AA5B6A" w:rsidRPr="002430BF" w:rsidRDefault="00AA5B6A" w:rsidP="00487714">
          <w:r w:rsidRPr="002430BF">
            <w:rPr>
              <w:b/>
            </w:rPr>
            <w:t>E-mail</w:t>
          </w:r>
          <w:r w:rsidRPr="002430BF">
            <w:t xml:space="preserve"> </w:t>
          </w:r>
          <w:r w:rsidRPr="00AB32FC">
            <w:rPr>
              <w:sz w:val="18"/>
              <w:szCs w:val="18"/>
            </w:rPr>
            <w:t>info@d</w:t>
          </w:r>
          <w:r w:rsidRPr="00AB32FC">
            <w:rPr>
              <w:rFonts w:ascii="Arial" w:hAnsi="Arial"/>
              <w:sz w:val="18"/>
              <w:szCs w:val="18"/>
            </w:rPr>
            <w:t>anielpijnackerbv</w:t>
          </w:r>
          <w:r w:rsidRPr="00AB32FC">
            <w:rPr>
              <w:sz w:val="18"/>
              <w:szCs w:val="18"/>
            </w:rPr>
            <w:t>.nl</w:t>
          </w:r>
        </w:p>
      </w:tc>
      <w:tc>
        <w:tcPr>
          <w:tcW w:w="6042" w:type="dxa"/>
          <w:gridSpan w:val="2"/>
        </w:tcPr>
        <w:p w14:paraId="7C1DF872" w14:textId="3AA394FF" w:rsidR="00AA5B6A" w:rsidRPr="002430BF" w:rsidRDefault="00AA5B6A" w:rsidP="00487714">
          <w:r w:rsidRPr="002430BF">
            <w:t>9291 NB, Kollum</w:t>
          </w:r>
        </w:p>
      </w:tc>
    </w:tr>
    <w:tr w:rsidR="00AA5B6A" w:rsidRPr="00A162D4" w14:paraId="0E8AD586" w14:textId="77777777" w:rsidTr="00941B58">
      <w:trPr>
        <w:trHeight w:val="284"/>
      </w:trPr>
      <w:tc>
        <w:tcPr>
          <w:tcW w:w="3020" w:type="dxa"/>
        </w:tcPr>
        <w:p w14:paraId="07965ABC" w14:textId="54BDFF9E" w:rsidR="00AA5B6A" w:rsidRPr="00A162D4" w:rsidRDefault="00AA5B6A" w:rsidP="00487714">
          <w:r w:rsidRPr="002430BF">
            <w:rPr>
              <w:b/>
            </w:rPr>
            <w:t xml:space="preserve">Directie </w:t>
          </w:r>
          <w:r w:rsidRPr="002430BF">
            <w:rPr>
              <w:bCs/>
            </w:rPr>
            <w:t>dhr. D. Pijnacker</w:t>
          </w:r>
        </w:p>
      </w:tc>
      <w:tc>
        <w:tcPr>
          <w:tcW w:w="6042" w:type="dxa"/>
          <w:gridSpan w:val="2"/>
        </w:tcPr>
        <w:p w14:paraId="2E239DFD" w14:textId="77777777" w:rsidR="00AA5B6A" w:rsidRDefault="00AA5B6A" w:rsidP="00487714">
          <w:pPr>
            <w:rPr>
              <w:b/>
            </w:rPr>
          </w:pPr>
        </w:p>
        <w:p w14:paraId="2770B586" w14:textId="77777777" w:rsidR="00AA5B6A" w:rsidRDefault="00AA5B6A" w:rsidP="00487714">
          <w:pPr>
            <w:rPr>
              <w:b/>
            </w:rPr>
          </w:pPr>
        </w:p>
        <w:p w14:paraId="29F09B84" w14:textId="77777777" w:rsidR="00AA5B6A" w:rsidRPr="00A162D4" w:rsidRDefault="00AA5B6A" w:rsidP="00487714">
          <w:pPr>
            <w:rPr>
              <w:b/>
            </w:rPr>
          </w:pPr>
        </w:p>
      </w:tc>
    </w:tr>
    <w:tr w:rsidR="00AA5B6A" w:rsidRPr="009B2095" w14:paraId="7BBDFE4E" w14:textId="77777777" w:rsidTr="00941B58">
      <w:trPr>
        <w:trHeight w:val="20"/>
      </w:trPr>
      <w:tc>
        <w:tcPr>
          <w:tcW w:w="9062" w:type="dxa"/>
          <w:gridSpan w:val="3"/>
          <w:tcBorders>
            <w:bottom w:val="single" w:sz="24" w:space="0" w:color="auto"/>
          </w:tcBorders>
        </w:tcPr>
        <w:p w14:paraId="0BEF7090" w14:textId="77777777" w:rsidR="00AA5B6A" w:rsidRPr="009B2095" w:rsidRDefault="00AA5B6A" w:rsidP="00B328FE">
          <w:pPr>
            <w:rPr>
              <w:sz w:val="6"/>
              <w:szCs w:val="6"/>
            </w:rPr>
          </w:pPr>
        </w:p>
      </w:tc>
    </w:tr>
  </w:tbl>
  <w:p w14:paraId="7FCADE00" w14:textId="77777777" w:rsidR="00AA5B6A" w:rsidRDefault="00AA5B6A" w:rsidP="00B328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8E40" w14:textId="77777777" w:rsidR="009114B0" w:rsidRDefault="009114B0" w:rsidP="00E432FC">
      <w:r>
        <w:separator/>
      </w:r>
    </w:p>
  </w:footnote>
  <w:footnote w:type="continuationSeparator" w:id="0">
    <w:p w14:paraId="09C536A9" w14:textId="77777777" w:rsidR="009114B0" w:rsidRDefault="009114B0" w:rsidP="00E4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DBAA" w14:textId="7BFB35E1" w:rsidR="00AA5B6A" w:rsidRPr="00E432FC" w:rsidRDefault="00AA5B6A" w:rsidP="00E432FC">
    <w:pPr>
      <w:pStyle w:val="Koptekst"/>
      <w:rPr>
        <w:b/>
        <w:color w:val="BFBFBF" w:themeColor="background1" w:themeShade="BF"/>
      </w:rPr>
    </w:pPr>
    <w:r>
      <w:rPr>
        <w:b/>
        <w:color w:val="BFBFBF" w:themeColor="background1" w:themeShade="BF"/>
      </w:rPr>
      <w:t>Daniël Pijnacker BV</w:t>
    </w:r>
  </w:p>
  <w:p w14:paraId="30D1B498" w14:textId="25E55C62" w:rsidR="00AA5B6A" w:rsidRPr="00E432FC" w:rsidRDefault="00AA5B6A" w:rsidP="00E432FC">
    <w:pPr>
      <w:pStyle w:val="Koptekst"/>
      <w:pBdr>
        <w:bottom w:val="single" w:sz="4" w:space="1" w:color="auto"/>
      </w:pBdr>
      <w:rPr>
        <w:color w:val="BFBFBF" w:themeColor="background1" w:themeShade="BF"/>
      </w:rPr>
    </w:pPr>
    <w:r>
      <w:rPr>
        <w:color w:val="BFBFBF" w:themeColor="background1" w:themeShade="BF"/>
      </w:rPr>
      <w:t>Meest materiële scope 3 emissies</w:t>
    </w:r>
    <w:r w:rsidRPr="00E432FC">
      <w:rPr>
        <w:color w:val="BFBFBF" w:themeColor="background1" w:themeShade="BF"/>
      </w:rPr>
      <w:tab/>
    </w:r>
    <w:r w:rsidRPr="00E432FC">
      <w:rPr>
        <w:color w:val="BFBFBF" w:themeColor="background1" w:themeShade="BF"/>
      </w:rPr>
      <w:tab/>
      <w:t>Versie 1</w:t>
    </w:r>
    <w:r>
      <w:rPr>
        <w:color w:val="BFBFBF" w:themeColor="background1" w:themeShade="BF"/>
      </w:rPr>
      <w:t>.0</w:t>
    </w:r>
    <w:r w:rsidRPr="00E432FC">
      <w:rPr>
        <w:color w:val="BFBFBF" w:themeColor="background1" w:themeShade="BF"/>
      </w:rPr>
      <w:t xml:space="preserve">, </w:t>
    </w:r>
    <w:r>
      <w:rPr>
        <w:color w:val="BFBFBF" w:themeColor="background1" w:themeShade="BF"/>
      </w:rPr>
      <w:t>augustus 2020</w:t>
    </w:r>
  </w:p>
  <w:p w14:paraId="7809E8A8" w14:textId="77777777" w:rsidR="00AA5B6A" w:rsidRDefault="00AA5B6A" w:rsidP="00E432FC">
    <w:pPr>
      <w:pStyle w:val="Koptekst"/>
      <w:rPr>
        <w:b/>
        <w:color w:val="BFBFBF" w:themeColor="background1" w:themeShade="BF"/>
      </w:rPr>
    </w:pPr>
  </w:p>
  <w:p w14:paraId="2F2F7323" w14:textId="77777777" w:rsidR="00AA5B6A" w:rsidRPr="00E432FC" w:rsidRDefault="00AA5B6A" w:rsidP="00E432FC">
    <w:pPr>
      <w:pStyle w:val="Koptekst"/>
      <w:rPr>
        <w:b/>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FE5D" w14:textId="1431F940" w:rsidR="00AA5B6A" w:rsidRDefault="00AA5B6A">
    <w:pPr>
      <w:pStyle w:val="Koptekst"/>
    </w:pPr>
    <w:r>
      <w:rPr>
        <w:noProof/>
        <w:lang w:eastAsia="nl-NL"/>
      </w:rPr>
      <w:drawing>
        <wp:inline distT="0" distB="0" distL="0" distR="0" wp14:anchorId="7F2BB675" wp14:editId="465DB693">
          <wp:extent cx="5760720" cy="37007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720" cy="3700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B9D"/>
    <w:multiLevelType w:val="hybridMultilevel"/>
    <w:tmpl w:val="AC2201B2"/>
    <w:lvl w:ilvl="0" w:tplc="6BCE45B0">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AE75F51"/>
    <w:multiLevelType w:val="hybridMultilevel"/>
    <w:tmpl w:val="9604A69A"/>
    <w:lvl w:ilvl="0" w:tplc="E4DEA8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79265A"/>
    <w:multiLevelType w:val="hybridMultilevel"/>
    <w:tmpl w:val="FCD4F59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E71DA"/>
    <w:multiLevelType w:val="hybridMultilevel"/>
    <w:tmpl w:val="D8F6D9A8"/>
    <w:lvl w:ilvl="0" w:tplc="6632070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770201"/>
    <w:multiLevelType w:val="multilevel"/>
    <w:tmpl w:val="003650C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 w15:restartNumberingAfterBreak="0">
    <w:nsid w:val="148B440E"/>
    <w:multiLevelType w:val="hybridMultilevel"/>
    <w:tmpl w:val="030EAC5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1E6B4A"/>
    <w:multiLevelType w:val="hybridMultilevel"/>
    <w:tmpl w:val="68C8559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B1414"/>
    <w:multiLevelType w:val="hybridMultilevel"/>
    <w:tmpl w:val="CCD8312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7DB4885"/>
    <w:multiLevelType w:val="hybridMultilevel"/>
    <w:tmpl w:val="846C8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01715B"/>
    <w:multiLevelType w:val="hybridMultilevel"/>
    <w:tmpl w:val="196E12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187951"/>
    <w:multiLevelType w:val="hybridMultilevel"/>
    <w:tmpl w:val="77C661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D05BB"/>
    <w:multiLevelType w:val="hybridMultilevel"/>
    <w:tmpl w:val="218EA8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201CB2"/>
    <w:multiLevelType w:val="hybridMultilevel"/>
    <w:tmpl w:val="F9CCCF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295A6F"/>
    <w:multiLevelType w:val="hybridMultilevel"/>
    <w:tmpl w:val="5BA8A646"/>
    <w:lvl w:ilvl="0" w:tplc="6BCE45B0">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BA95088"/>
    <w:multiLevelType w:val="hybridMultilevel"/>
    <w:tmpl w:val="6636A734"/>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1C14D4"/>
    <w:multiLevelType w:val="hybridMultilevel"/>
    <w:tmpl w:val="953EE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4F7290"/>
    <w:multiLevelType w:val="hybridMultilevel"/>
    <w:tmpl w:val="9D8EE30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72C6D61"/>
    <w:multiLevelType w:val="hybridMultilevel"/>
    <w:tmpl w:val="05B6715C"/>
    <w:lvl w:ilvl="0" w:tplc="69B47FA2">
      <w:numFmt w:val="bullet"/>
      <w:pStyle w:val="Opsomming"/>
      <w:lvlText w:val="-"/>
      <w:lvlJc w:val="left"/>
      <w:pPr>
        <w:tabs>
          <w:tab w:val="num" w:pos="1774"/>
        </w:tabs>
        <w:ind w:left="1774" w:hanging="357"/>
      </w:pPr>
      <w:rPr>
        <w:rFonts w:ascii="Arial" w:eastAsia="Times New Roman" w:hAnsi="Arial" w:cs="Arial" w:hint="default"/>
        <w:b w:val="0"/>
        <w:i w:val="0"/>
        <w:sz w:val="20"/>
      </w:rPr>
    </w:lvl>
    <w:lvl w:ilvl="1" w:tplc="CC70808A">
      <w:start w:val="1"/>
      <w:numFmt w:val="bullet"/>
      <w:lvlText w:val=""/>
      <w:lvlJc w:val="left"/>
      <w:pPr>
        <w:tabs>
          <w:tab w:val="num" w:pos="1440"/>
        </w:tabs>
        <w:ind w:left="1440" w:hanging="360"/>
      </w:pPr>
      <w:rPr>
        <w:rFonts w:ascii="Symbol" w:hAnsi="Symbol" w:hint="default"/>
      </w:rPr>
    </w:lvl>
    <w:lvl w:ilvl="2" w:tplc="9C18C702">
      <w:numFmt w:val="bullet"/>
      <w:lvlText w:val="-"/>
      <w:lvlJc w:val="left"/>
      <w:pPr>
        <w:tabs>
          <w:tab w:val="num" w:pos="2160"/>
        </w:tabs>
        <w:ind w:left="2160" w:hanging="360"/>
      </w:pPr>
      <w:rPr>
        <w:rFonts w:ascii="Times New Roman" w:eastAsia="Times New Roman" w:hAnsi="Times New Roman" w:cs="Times New Roman" w:hint="default"/>
      </w:rPr>
    </w:lvl>
    <w:lvl w:ilvl="3" w:tplc="4CFA76A8" w:tentative="1">
      <w:start w:val="1"/>
      <w:numFmt w:val="bullet"/>
      <w:lvlText w:val=""/>
      <w:lvlJc w:val="left"/>
      <w:pPr>
        <w:tabs>
          <w:tab w:val="num" w:pos="2880"/>
        </w:tabs>
        <w:ind w:left="2880" w:hanging="360"/>
      </w:pPr>
      <w:rPr>
        <w:rFonts w:ascii="Symbol" w:hAnsi="Symbol" w:hint="default"/>
      </w:rPr>
    </w:lvl>
    <w:lvl w:ilvl="4" w:tplc="AB66D75C" w:tentative="1">
      <w:start w:val="1"/>
      <w:numFmt w:val="bullet"/>
      <w:lvlText w:val="o"/>
      <w:lvlJc w:val="left"/>
      <w:pPr>
        <w:tabs>
          <w:tab w:val="num" w:pos="3600"/>
        </w:tabs>
        <w:ind w:left="3600" w:hanging="360"/>
      </w:pPr>
      <w:rPr>
        <w:rFonts w:ascii="Courier New" w:hAnsi="Courier New" w:cs="Courier New" w:hint="default"/>
      </w:rPr>
    </w:lvl>
    <w:lvl w:ilvl="5" w:tplc="8ABCB27E" w:tentative="1">
      <w:start w:val="1"/>
      <w:numFmt w:val="bullet"/>
      <w:lvlText w:val=""/>
      <w:lvlJc w:val="left"/>
      <w:pPr>
        <w:tabs>
          <w:tab w:val="num" w:pos="4320"/>
        </w:tabs>
        <w:ind w:left="4320" w:hanging="360"/>
      </w:pPr>
      <w:rPr>
        <w:rFonts w:ascii="Wingdings" w:hAnsi="Wingdings" w:hint="default"/>
      </w:rPr>
    </w:lvl>
    <w:lvl w:ilvl="6" w:tplc="0D12CBBE" w:tentative="1">
      <w:start w:val="1"/>
      <w:numFmt w:val="bullet"/>
      <w:lvlText w:val=""/>
      <w:lvlJc w:val="left"/>
      <w:pPr>
        <w:tabs>
          <w:tab w:val="num" w:pos="5040"/>
        </w:tabs>
        <w:ind w:left="5040" w:hanging="360"/>
      </w:pPr>
      <w:rPr>
        <w:rFonts w:ascii="Symbol" w:hAnsi="Symbol" w:hint="default"/>
      </w:rPr>
    </w:lvl>
    <w:lvl w:ilvl="7" w:tplc="E7C62BF8" w:tentative="1">
      <w:start w:val="1"/>
      <w:numFmt w:val="bullet"/>
      <w:lvlText w:val="o"/>
      <w:lvlJc w:val="left"/>
      <w:pPr>
        <w:tabs>
          <w:tab w:val="num" w:pos="5760"/>
        </w:tabs>
        <w:ind w:left="5760" w:hanging="360"/>
      </w:pPr>
      <w:rPr>
        <w:rFonts w:ascii="Courier New" w:hAnsi="Courier New" w:cs="Courier New" w:hint="default"/>
      </w:rPr>
    </w:lvl>
    <w:lvl w:ilvl="8" w:tplc="1C4838D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55C7A"/>
    <w:multiLevelType w:val="hybridMultilevel"/>
    <w:tmpl w:val="FCBE8ACE"/>
    <w:lvl w:ilvl="0" w:tplc="FFFFFFFF">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42552"/>
    <w:multiLevelType w:val="hybridMultilevel"/>
    <w:tmpl w:val="E02690D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712A8C"/>
    <w:multiLevelType w:val="hybridMultilevel"/>
    <w:tmpl w:val="EAECFD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1A3B04"/>
    <w:multiLevelType w:val="hybridMultilevel"/>
    <w:tmpl w:val="AB3EF1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70C08B1"/>
    <w:multiLevelType w:val="hybridMultilevel"/>
    <w:tmpl w:val="F4D09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BBF3AF8"/>
    <w:multiLevelType w:val="hybridMultilevel"/>
    <w:tmpl w:val="1108DE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5080C6B"/>
    <w:multiLevelType w:val="hybridMultilevel"/>
    <w:tmpl w:val="13DE866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76AC71B0"/>
    <w:multiLevelType w:val="hybridMultilevel"/>
    <w:tmpl w:val="8320D9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3"/>
  </w:num>
  <w:num w:numId="4">
    <w:abstractNumId w:val="25"/>
  </w:num>
  <w:num w:numId="5">
    <w:abstractNumId w:val="5"/>
  </w:num>
  <w:num w:numId="6">
    <w:abstractNumId w:val="18"/>
  </w:num>
  <w:num w:numId="7">
    <w:abstractNumId w:val="8"/>
  </w:num>
  <w:num w:numId="8">
    <w:abstractNumId w:val="14"/>
  </w:num>
  <w:num w:numId="9">
    <w:abstractNumId w:val="0"/>
  </w:num>
  <w:num w:numId="10">
    <w:abstractNumId w:val="13"/>
  </w:num>
  <w:num w:numId="11">
    <w:abstractNumId w:val="16"/>
  </w:num>
  <w:num w:numId="12">
    <w:abstractNumId w:val="15"/>
  </w:num>
  <w:num w:numId="13">
    <w:abstractNumId w:val="19"/>
  </w:num>
  <w:num w:numId="14">
    <w:abstractNumId w:val="20"/>
  </w:num>
  <w:num w:numId="15">
    <w:abstractNumId w:val="6"/>
  </w:num>
  <w:num w:numId="16">
    <w:abstractNumId w:val="3"/>
  </w:num>
  <w:num w:numId="17">
    <w:abstractNumId w:val="12"/>
  </w:num>
  <w:num w:numId="18">
    <w:abstractNumId w:val="22"/>
  </w:num>
  <w:num w:numId="19">
    <w:abstractNumId w:val="21"/>
  </w:num>
  <w:num w:numId="20">
    <w:abstractNumId w:val="9"/>
  </w:num>
  <w:num w:numId="21">
    <w:abstractNumId w:val="11"/>
  </w:num>
  <w:num w:numId="22">
    <w:abstractNumId w:val="10"/>
  </w:num>
  <w:num w:numId="23">
    <w:abstractNumId w:val="2"/>
  </w:num>
  <w:num w:numId="24">
    <w:abstractNumId w:val="7"/>
  </w:num>
  <w:num w:numId="25">
    <w:abstractNumId w:val="24"/>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AE"/>
    <w:rsid w:val="00000F44"/>
    <w:rsid w:val="00004D64"/>
    <w:rsid w:val="000052E1"/>
    <w:rsid w:val="00006AFC"/>
    <w:rsid w:val="00006D5A"/>
    <w:rsid w:val="000078E3"/>
    <w:rsid w:val="00007A78"/>
    <w:rsid w:val="00011518"/>
    <w:rsid w:val="00011B44"/>
    <w:rsid w:val="00011FDD"/>
    <w:rsid w:val="00013367"/>
    <w:rsid w:val="000142D6"/>
    <w:rsid w:val="00014341"/>
    <w:rsid w:val="00014C4E"/>
    <w:rsid w:val="000160E8"/>
    <w:rsid w:val="00016874"/>
    <w:rsid w:val="00021830"/>
    <w:rsid w:val="00021CE5"/>
    <w:rsid w:val="0002630B"/>
    <w:rsid w:val="000275CF"/>
    <w:rsid w:val="00035A80"/>
    <w:rsid w:val="00041331"/>
    <w:rsid w:val="00043CCB"/>
    <w:rsid w:val="00043EC8"/>
    <w:rsid w:val="00052D20"/>
    <w:rsid w:val="0005651D"/>
    <w:rsid w:val="00056979"/>
    <w:rsid w:val="0006105D"/>
    <w:rsid w:val="000618F6"/>
    <w:rsid w:val="00066FC6"/>
    <w:rsid w:val="00067174"/>
    <w:rsid w:val="00067334"/>
    <w:rsid w:val="0007450A"/>
    <w:rsid w:val="00075F78"/>
    <w:rsid w:val="0007669C"/>
    <w:rsid w:val="00076F83"/>
    <w:rsid w:val="00082C95"/>
    <w:rsid w:val="00084ACA"/>
    <w:rsid w:val="00084D1A"/>
    <w:rsid w:val="00087E84"/>
    <w:rsid w:val="00090DAD"/>
    <w:rsid w:val="00093F83"/>
    <w:rsid w:val="00095159"/>
    <w:rsid w:val="00096552"/>
    <w:rsid w:val="00096986"/>
    <w:rsid w:val="000975DB"/>
    <w:rsid w:val="00097ADF"/>
    <w:rsid w:val="00097C1E"/>
    <w:rsid w:val="000A256C"/>
    <w:rsid w:val="000A2DA0"/>
    <w:rsid w:val="000A2DF6"/>
    <w:rsid w:val="000A5E15"/>
    <w:rsid w:val="000B2C66"/>
    <w:rsid w:val="000B499D"/>
    <w:rsid w:val="000B5616"/>
    <w:rsid w:val="000B7245"/>
    <w:rsid w:val="000C219F"/>
    <w:rsid w:val="000C292C"/>
    <w:rsid w:val="000C39D9"/>
    <w:rsid w:val="000C3B67"/>
    <w:rsid w:val="000C4935"/>
    <w:rsid w:val="000C57E9"/>
    <w:rsid w:val="000C7DE1"/>
    <w:rsid w:val="000D0A26"/>
    <w:rsid w:val="000D0ABB"/>
    <w:rsid w:val="000D0F3D"/>
    <w:rsid w:val="000D1CAE"/>
    <w:rsid w:val="000D3BF4"/>
    <w:rsid w:val="000D3D85"/>
    <w:rsid w:val="000D4D2E"/>
    <w:rsid w:val="000D59D9"/>
    <w:rsid w:val="000E34A5"/>
    <w:rsid w:val="000E3F49"/>
    <w:rsid w:val="000E5EE3"/>
    <w:rsid w:val="000E62BA"/>
    <w:rsid w:val="000F00A1"/>
    <w:rsid w:val="000F16C3"/>
    <w:rsid w:val="000F451E"/>
    <w:rsid w:val="000F4E2E"/>
    <w:rsid w:val="00111078"/>
    <w:rsid w:val="00112334"/>
    <w:rsid w:val="00115582"/>
    <w:rsid w:val="001171C8"/>
    <w:rsid w:val="00117586"/>
    <w:rsid w:val="0012178B"/>
    <w:rsid w:val="00122AA9"/>
    <w:rsid w:val="0012383C"/>
    <w:rsid w:val="00125943"/>
    <w:rsid w:val="00131408"/>
    <w:rsid w:val="0013334A"/>
    <w:rsid w:val="00137468"/>
    <w:rsid w:val="0013757F"/>
    <w:rsid w:val="001413B0"/>
    <w:rsid w:val="00141951"/>
    <w:rsid w:val="00141BA2"/>
    <w:rsid w:val="00143FF4"/>
    <w:rsid w:val="001443A9"/>
    <w:rsid w:val="0014689B"/>
    <w:rsid w:val="0014763C"/>
    <w:rsid w:val="001476B3"/>
    <w:rsid w:val="00152015"/>
    <w:rsid w:val="00154971"/>
    <w:rsid w:val="00163564"/>
    <w:rsid w:val="00164ABB"/>
    <w:rsid w:val="00165B2B"/>
    <w:rsid w:val="00167F89"/>
    <w:rsid w:val="00172001"/>
    <w:rsid w:val="00173DCD"/>
    <w:rsid w:val="001812EE"/>
    <w:rsid w:val="00182C3A"/>
    <w:rsid w:val="00183ECB"/>
    <w:rsid w:val="001855BC"/>
    <w:rsid w:val="001902C0"/>
    <w:rsid w:val="0019119F"/>
    <w:rsid w:val="001947B8"/>
    <w:rsid w:val="00194A8D"/>
    <w:rsid w:val="0019566C"/>
    <w:rsid w:val="00195C95"/>
    <w:rsid w:val="001A0ACC"/>
    <w:rsid w:val="001A151A"/>
    <w:rsid w:val="001A1EC2"/>
    <w:rsid w:val="001A43BF"/>
    <w:rsid w:val="001A5BC4"/>
    <w:rsid w:val="001A6FE0"/>
    <w:rsid w:val="001A7586"/>
    <w:rsid w:val="001B0FE6"/>
    <w:rsid w:val="001B48BA"/>
    <w:rsid w:val="001B5AA9"/>
    <w:rsid w:val="001C1704"/>
    <w:rsid w:val="001C236B"/>
    <w:rsid w:val="001C3987"/>
    <w:rsid w:val="001C54A0"/>
    <w:rsid w:val="001C770A"/>
    <w:rsid w:val="001D35C7"/>
    <w:rsid w:val="001D5B39"/>
    <w:rsid w:val="001D601A"/>
    <w:rsid w:val="001E03BC"/>
    <w:rsid w:val="001E260A"/>
    <w:rsid w:val="001E4F11"/>
    <w:rsid w:val="001F2A9B"/>
    <w:rsid w:val="001F2FF0"/>
    <w:rsid w:val="001F4F47"/>
    <w:rsid w:val="00201462"/>
    <w:rsid w:val="00201986"/>
    <w:rsid w:val="00201E74"/>
    <w:rsid w:val="002021F9"/>
    <w:rsid w:val="00202518"/>
    <w:rsid w:val="00202C85"/>
    <w:rsid w:val="002054F3"/>
    <w:rsid w:val="00206A35"/>
    <w:rsid w:val="00206A6C"/>
    <w:rsid w:val="002127BD"/>
    <w:rsid w:val="00213838"/>
    <w:rsid w:val="00215ED3"/>
    <w:rsid w:val="00216AB2"/>
    <w:rsid w:val="00221A6E"/>
    <w:rsid w:val="002264DB"/>
    <w:rsid w:val="00227FDF"/>
    <w:rsid w:val="00234972"/>
    <w:rsid w:val="00234FE8"/>
    <w:rsid w:val="00236132"/>
    <w:rsid w:val="00240BBA"/>
    <w:rsid w:val="0024164E"/>
    <w:rsid w:val="002430BF"/>
    <w:rsid w:val="002472E5"/>
    <w:rsid w:val="00247B98"/>
    <w:rsid w:val="002505CC"/>
    <w:rsid w:val="0025297E"/>
    <w:rsid w:val="00253207"/>
    <w:rsid w:val="00253DEE"/>
    <w:rsid w:val="002559B3"/>
    <w:rsid w:val="00256450"/>
    <w:rsid w:val="00261A9B"/>
    <w:rsid w:val="00261B40"/>
    <w:rsid w:val="00264B7B"/>
    <w:rsid w:val="002708C0"/>
    <w:rsid w:val="002711F9"/>
    <w:rsid w:val="00273410"/>
    <w:rsid w:val="002758F1"/>
    <w:rsid w:val="00277D0C"/>
    <w:rsid w:val="00281B19"/>
    <w:rsid w:val="00283AA9"/>
    <w:rsid w:val="002840E0"/>
    <w:rsid w:val="002862B1"/>
    <w:rsid w:val="00286754"/>
    <w:rsid w:val="0028736F"/>
    <w:rsid w:val="0029073B"/>
    <w:rsid w:val="00290B72"/>
    <w:rsid w:val="00292C3E"/>
    <w:rsid w:val="00292EFC"/>
    <w:rsid w:val="002966E3"/>
    <w:rsid w:val="002A0A30"/>
    <w:rsid w:val="002A1E43"/>
    <w:rsid w:val="002A4111"/>
    <w:rsid w:val="002A6D51"/>
    <w:rsid w:val="002A778A"/>
    <w:rsid w:val="002B0702"/>
    <w:rsid w:val="002B1317"/>
    <w:rsid w:val="002B1343"/>
    <w:rsid w:val="002B166E"/>
    <w:rsid w:val="002B2823"/>
    <w:rsid w:val="002B3DF2"/>
    <w:rsid w:val="002B7D8D"/>
    <w:rsid w:val="002C156B"/>
    <w:rsid w:val="002C196E"/>
    <w:rsid w:val="002C19FE"/>
    <w:rsid w:val="002C26D3"/>
    <w:rsid w:val="002C2ADE"/>
    <w:rsid w:val="002C47FD"/>
    <w:rsid w:val="002C4E3A"/>
    <w:rsid w:val="002D05C7"/>
    <w:rsid w:val="002D19FC"/>
    <w:rsid w:val="002D2414"/>
    <w:rsid w:val="002D5CF0"/>
    <w:rsid w:val="002D5DAB"/>
    <w:rsid w:val="002D69CA"/>
    <w:rsid w:val="002E53E9"/>
    <w:rsid w:val="002E6A6F"/>
    <w:rsid w:val="002F16C9"/>
    <w:rsid w:val="002F2744"/>
    <w:rsid w:val="002F538E"/>
    <w:rsid w:val="002F6CD0"/>
    <w:rsid w:val="002F7586"/>
    <w:rsid w:val="002F77D1"/>
    <w:rsid w:val="00303543"/>
    <w:rsid w:val="003042B8"/>
    <w:rsid w:val="003046A5"/>
    <w:rsid w:val="003114B6"/>
    <w:rsid w:val="00313CDC"/>
    <w:rsid w:val="00315692"/>
    <w:rsid w:val="00321863"/>
    <w:rsid w:val="00321D50"/>
    <w:rsid w:val="003227C8"/>
    <w:rsid w:val="0032468B"/>
    <w:rsid w:val="00324E40"/>
    <w:rsid w:val="00326E2A"/>
    <w:rsid w:val="00332EED"/>
    <w:rsid w:val="003334F1"/>
    <w:rsid w:val="00333C5A"/>
    <w:rsid w:val="00341AB8"/>
    <w:rsid w:val="003431BF"/>
    <w:rsid w:val="00343496"/>
    <w:rsid w:val="003447A3"/>
    <w:rsid w:val="00344D96"/>
    <w:rsid w:val="00345CF4"/>
    <w:rsid w:val="003461D7"/>
    <w:rsid w:val="003477D4"/>
    <w:rsid w:val="0035349C"/>
    <w:rsid w:val="00353EBB"/>
    <w:rsid w:val="00354625"/>
    <w:rsid w:val="00354951"/>
    <w:rsid w:val="00355864"/>
    <w:rsid w:val="0035654A"/>
    <w:rsid w:val="0035791D"/>
    <w:rsid w:val="00357AAC"/>
    <w:rsid w:val="00360682"/>
    <w:rsid w:val="003608AD"/>
    <w:rsid w:val="00360999"/>
    <w:rsid w:val="00366A6E"/>
    <w:rsid w:val="00370B56"/>
    <w:rsid w:val="00373CFC"/>
    <w:rsid w:val="003776B8"/>
    <w:rsid w:val="0037781C"/>
    <w:rsid w:val="003804A6"/>
    <w:rsid w:val="003808B1"/>
    <w:rsid w:val="00380B49"/>
    <w:rsid w:val="00381932"/>
    <w:rsid w:val="003828D1"/>
    <w:rsid w:val="003853BE"/>
    <w:rsid w:val="003906B1"/>
    <w:rsid w:val="00391660"/>
    <w:rsid w:val="00393049"/>
    <w:rsid w:val="00393451"/>
    <w:rsid w:val="00395931"/>
    <w:rsid w:val="003960AB"/>
    <w:rsid w:val="00396138"/>
    <w:rsid w:val="003969E9"/>
    <w:rsid w:val="00397BEE"/>
    <w:rsid w:val="003A0083"/>
    <w:rsid w:val="003A1563"/>
    <w:rsid w:val="003A2863"/>
    <w:rsid w:val="003A2B7F"/>
    <w:rsid w:val="003A2E1D"/>
    <w:rsid w:val="003A498C"/>
    <w:rsid w:val="003B01EF"/>
    <w:rsid w:val="003B05A3"/>
    <w:rsid w:val="003B208C"/>
    <w:rsid w:val="003B234D"/>
    <w:rsid w:val="003B68F4"/>
    <w:rsid w:val="003B7E76"/>
    <w:rsid w:val="003B7F10"/>
    <w:rsid w:val="003C0E7E"/>
    <w:rsid w:val="003C18AA"/>
    <w:rsid w:val="003C2001"/>
    <w:rsid w:val="003C2431"/>
    <w:rsid w:val="003C2CC0"/>
    <w:rsid w:val="003C6083"/>
    <w:rsid w:val="003C73CC"/>
    <w:rsid w:val="003D0A4B"/>
    <w:rsid w:val="003D28ED"/>
    <w:rsid w:val="003D4754"/>
    <w:rsid w:val="003D4C62"/>
    <w:rsid w:val="003D4E8A"/>
    <w:rsid w:val="003D582C"/>
    <w:rsid w:val="003D624A"/>
    <w:rsid w:val="003D6897"/>
    <w:rsid w:val="003D76C1"/>
    <w:rsid w:val="003E05BC"/>
    <w:rsid w:val="003E1E4A"/>
    <w:rsid w:val="003E2BB4"/>
    <w:rsid w:val="003E3B9A"/>
    <w:rsid w:val="003E3F56"/>
    <w:rsid w:val="003E49B0"/>
    <w:rsid w:val="003E644F"/>
    <w:rsid w:val="003E7297"/>
    <w:rsid w:val="003E79B1"/>
    <w:rsid w:val="003F49BA"/>
    <w:rsid w:val="0040285E"/>
    <w:rsid w:val="00407475"/>
    <w:rsid w:val="004100C9"/>
    <w:rsid w:val="00410CFD"/>
    <w:rsid w:val="00411541"/>
    <w:rsid w:val="00412435"/>
    <w:rsid w:val="00414446"/>
    <w:rsid w:val="0041598A"/>
    <w:rsid w:val="0041687D"/>
    <w:rsid w:val="00417604"/>
    <w:rsid w:val="00420887"/>
    <w:rsid w:val="0042204F"/>
    <w:rsid w:val="0042240D"/>
    <w:rsid w:val="00423831"/>
    <w:rsid w:val="00423AAA"/>
    <w:rsid w:val="0042480C"/>
    <w:rsid w:val="00426922"/>
    <w:rsid w:val="00427D04"/>
    <w:rsid w:val="00430973"/>
    <w:rsid w:val="00432158"/>
    <w:rsid w:val="00432960"/>
    <w:rsid w:val="004343C2"/>
    <w:rsid w:val="00435713"/>
    <w:rsid w:val="0044134B"/>
    <w:rsid w:val="004442BC"/>
    <w:rsid w:val="00451623"/>
    <w:rsid w:val="00454416"/>
    <w:rsid w:val="004547E1"/>
    <w:rsid w:val="004554A1"/>
    <w:rsid w:val="00455BFE"/>
    <w:rsid w:val="00455EA6"/>
    <w:rsid w:val="004579C8"/>
    <w:rsid w:val="00461226"/>
    <w:rsid w:val="00461EA4"/>
    <w:rsid w:val="00462F0C"/>
    <w:rsid w:val="0046718E"/>
    <w:rsid w:val="0046785B"/>
    <w:rsid w:val="004719C2"/>
    <w:rsid w:val="0047318D"/>
    <w:rsid w:val="00473FE0"/>
    <w:rsid w:val="00474ED4"/>
    <w:rsid w:val="0047552A"/>
    <w:rsid w:val="00476701"/>
    <w:rsid w:val="00477234"/>
    <w:rsid w:val="0048274E"/>
    <w:rsid w:val="00484065"/>
    <w:rsid w:val="004847D4"/>
    <w:rsid w:val="004856FD"/>
    <w:rsid w:val="00487714"/>
    <w:rsid w:val="00487E8F"/>
    <w:rsid w:val="0049161E"/>
    <w:rsid w:val="004916F3"/>
    <w:rsid w:val="0049170C"/>
    <w:rsid w:val="00493E3B"/>
    <w:rsid w:val="004952E1"/>
    <w:rsid w:val="004A0DC2"/>
    <w:rsid w:val="004A3068"/>
    <w:rsid w:val="004A4B38"/>
    <w:rsid w:val="004A4D62"/>
    <w:rsid w:val="004A5464"/>
    <w:rsid w:val="004A5630"/>
    <w:rsid w:val="004B2318"/>
    <w:rsid w:val="004B26F6"/>
    <w:rsid w:val="004C4ECF"/>
    <w:rsid w:val="004C5DA0"/>
    <w:rsid w:val="004D4B09"/>
    <w:rsid w:val="004D4B0C"/>
    <w:rsid w:val="004D6867"/>
    <w:rsid w:val="004E3CF6"/>
    <w:rsid w:val="004E6853"/>
    <w:rsid w:val="004F1C54"/>
    <w:rsid w:val="004F4771"/>
    <w:rsid w:val="004F586B"/>
    <w:rsid w:val="004F7034"/>
    <w:rsid w:val="004F7D72"/>
    <w:rsid w:val="00500DD3"/>
    <w:rsid w:val="005030A0"/>
    <w:rsid w:val="005037C9"/>
    <w:rsid w:val="00503FEA"/>
    <w:rsid w:val="00504115"/>
    <w:rsid w:val="00505404"/>
    <w:rsid w:val="00506A8F"/>
    <w:rsid w:val="005125CB"/>
    <w:rsid w:val="00512B1C"/>
    <w:rsid w:val="00513A6B"/>
    <w:rsid w:val="00513B98"/>
    <w:rsid w:val="00513F69"/>
    <w:rsid w:val="00516E34"/>
    <w:rsid w:val="0051757F"/>
    <w:rsid w:val="00523FCE"/>
    <w:rsid w:val="00527878"/>
    <w:rsid w:val="00527FDE"/>
    <w:rsid w:val="00530205"/>
    <w:rsid w:val="00533D5C"/>
    <w:rsid w:val="0053493F"/>
    <w:rsid w:val="00541080"/>
    <w:rsid w:val="00551E7B"/>
    <w:rsid w:val="005574E3"/>
    <w:rsid w:val="00557AEB"/>
    <w:rsid w:val="005605ED"/>
    <w:rsid w:val="00561674"/>
    <w:rsid w:val="00562AAA"/>
    <w:rsid w:val="00562E1D"/>
    <w:rsid w:val="00567ED5"/>
    <w:rsid w:val="005704F2"/>
    <w:rsid w:val="00570924"/>
    <w:rsid w:val="005714D1"/>
    <w:rsid w:val="0057217F"/>
    <w:rsid w:val="005730C8"/>
    <w:rsid w:val="00575783"/>
    <w:rsid w:val="0057789C"/>
    <w:rsid w:val="0058353C"/>
    <w:rsid w:val="005922CC"/>
    <w:rsid w:val="005A1359"/>
    <w:rsid w:val="005A1A26"/>
    <w:rsid w:val="005A4026"/>
    <w:rsid w:val="005A4086"/>
    <w:rsid w:val="005B202D"/>
    <w:rsid w:val="005B342D"/>
    <w:rsid w:val="005B4D55"/>
    <w:rsid w:val="005B58BF"/>
    <w:rsid w:val="005B6269"/>
    <w:rsid w:val="005B7647"/>
    <w:rsid w:val="005C3653"/>
    <w:rsid w:val="005D084D"/>
    <w:rsid w:val="005D1A2A"/>
    <w:rsid w:val="005D44FA"/>
    <w:rsid w:val="005D538B"/>
    <w:rsid w:val="005D6578"/>
    <w:rsid w:val="005E089B"/>
    <w:rsid w:val="005E50CE"/>
    <w:rsid w:val="005E56F7"/>
    <w:rsid w:val="005E73B1"/>
    <w:rsid w:val="005E7BB1"/>
    <w:rsid w:val="005F35C7"/>
    <w:rsid w:val="005F5FA0"/>
    <w:rsid w:val="005F60C4"/>
    <w:rsid w:val="005F73FD"/>
    <w:rsid w:val="006009ED"/>
    <w:rsid w:val="00603208"/>
    <w:rsid w:val="006032DF"/>
    <w:rsid w:val="00603808"/>
    <w:rsid w:val="00603DD0"/>
    <w:rsid w:val="006045E1"/>
    <w:rsid w:val="00605064"/>
    <w:rsid w:val="00612D1A"/>
    <w:rsid w:val="0061605E"/>
    <w:rsid w:val="0061606A"/>
    <w:rsid w:val="0062064A"/>
    <w:rsid w:val="00620AEC"/>
    <w:rsid w:val="00620D9D"/>
    <w:rsid w:val="00620E48"/>
    <w:rsid w:val="00624B8B"/>
    <w:rsid w:val="00625D81"/>
    <w:rsid w:val="00626FF7"/>
    <w:rsid w:val="006310E0"/>
    <w:rsid w:val="00631866"/>
    <w:rsid w:val="0063222A"/>
    <w:rsid w:val="0063303D"/>
    <w:rsid w:val="006335CF"/>
    <w:rsid w:val="00633962"/>
    <w:rsid w:val="00633A8C"/>
    <w:rsid w:val="00635CA0"/>
    <w:rsid w:val="00635E48"/>
    <w:rsid w:val="006362B4"/>
    <w:rsid w:val="00637C6C"/>
    <w:rsid w:val="00640134"/>
    <w:rsid w:val="00642128"/>
    <w:rsid w:val="006446BE"/>
    <w:rsid w:val="00647EA0"/>
    <w:rsid w:val="00647EE4"/>
    <w:rsid w:val="00655E33"/>
    <w:rsid w:val="00656577"/>
    <w:rsid w:val="00657CB7"/>
    <w:rsid w:val="006628A8"/>
    <w:rsid w:val="006643A4"/>
    <w:rsid w:val="00671B6F"/>
    <w:rsid w:val="0067355F"/>
    <w:rsid w:val="00673D93"/>
    <w:rsid w:val="006813F9"/>
    <w:rsid w:val="006819F8"/>
    <w:rsid w:val="00681AD5"/>
    <w:rsid w:val="00681FC4"/>
    <w:rsid w:val="006825F8"/>
    <w:rsid w:val="0068405D"/>
    <w:rsid w:val="00692658"/>
    <w:rsid w:val="00692DE3"/>
    <w:rsid w:val="00692EF8"/>
    <w:rsid w:val="00694119"/>
    <w:rsid w:val="00696F84"/>
    <w:rsid w:val="006A00E0"/>
    <w:rsid w:val="006A1B5E"/>
    <w:rsid w:val="006A2107"/>
    <w:rsid w:val="006A27BE"/>
    <w:rsid w:val="006A4735"/>
    <w:rsid w:val="006A58E2"/>
    <w:rsid w:val="006C0103"/>
    <w:rsid w:val="006C0F12"/>
    <w:rsid w:val="006C45DE"/>
    <w:rsid w:val="006C59E3"/>
    <w:rsid w:val="006D41D0"/>
    <w:rsid w:val="006E0208"/>
    <w:rsid w:val="006E4E58"/>
    <w:rsid w:val="006E64EF"/>
    <w:rsid w:val="006E77D5"/>
    <w:rsid w:val="006E7C0F"/>
    <w:rsid w:val="006F0BBB"/>
    <w:rsid w:val="006F5AB2"/>
    <w:rsid w:val="006F6CEC"/>
    <w:rsid w:val="006F7B75"/>
    <w:rsid w:val="00700936"/>
    <w:rsid w:val="00704D77"/>
    <w:rsid w:val="007059B4"/>
    <w:rsid w:val="00705C82"/>
    <w:rsid w:val="007114C7"/>
    <w:rsid w:val="007143FB"/>
    <w:rsid w:val="00714AD8"/>
    <w:rsid w:val="00715981"/>
    <w:rsid w:val="00724676"/>
    <w:rsid w:val="00724D38"/>
    <w:rsid w:val="00725C39"/>
    <w:rsid w:val="00726F65"/>
    <w:rsid w:val="00727D4A"/>
    <w:rsid w:val="00730560"/>
    <w:rsid w:val="007312B0"/>
    <w:rsid w:val="00732FDB"/>
    <w:rsid w:val="007336C6"/>
    <w:rsid w:val="00735247"/>
    <w:rsid w:val="00735B94"/>
    <w:rsid w:val="00740A14"/>
    <w:rsid w:val="0074209B"/>
    <w:rsid w:val="00742CD5"/>
    <w:rsid w:val="00743C48"/>
    <w:rsid w:val="00744432"/>
    <w:rsid w:val="00746144"/>
    <w:rsid w:val="00751D9A"/>
    <w:rsid w:val="00752ACB"/>
    <w:rsid w:val="00752F33"/>
    <w:rsid w:val="00754AC8"/>
    <w:rsid w:val="00756260"/>
    <w:rsid w:val="00756CA9"/>
    <w:rsid w:val="00756EA3"/>
    <w:rsid w:val="007605BC"/>
    <w:rsid w:val="00764873"/>
    <w:rsid w:val="007658A6"/>
    <w:rsid w:val="00765BF6"/>
    <w:rsid w:val="0076603B"/>
    <w:rsid w:val="0076653A"/>
    <w:rsid w:val="00766A43"/>
    <w:rsid w:val="00767254"/>
    <w:rsid w:val="00767B5D"/>
    <w:rsid w:val="0077464F"/>
    <w:rsid w:val="007756B1"/>
    <w:rsid w:val="007769DA"/>
    <w:rsid w:val="00781887"/>
    <w:rsid w:val="00781C36"/>
    <w:rsid w:val="00786128"/>
    <w:rsid w:val="0079146E"/>
    <w:rsid w:val="00791BA1"/>
    <w:rsid w:val="007924BA"/>
    <w:rsid w:val="00792517"/>
    <w:rsid w:val="007944D5"/>
    <w:rsid w:val="007945DE"/>
    <w:rsid w:val="00794854"/>
    <w:rsid w:val="0079674A"/>
    <w:rsid w:val="00796F01"/>
    <w:rsid w:val="00797D62"/>
    <w:rsid w:val="007A1DDC"/>
    <w:rsid w:val="007A2619"/>
    <w:rsid w:val="007A3855"/>
    <w:rsid w:val="007A46AD"/>
    <w:rsid w:val="007A7861"/>
    <w:rsid w:val="007B33A0"/>
    <w:rsid w:val="007C1024"/>
    <w:rsid w:val="007C4166"/>
    <w:rsid w:val="007C5076"/>
    <w:rsid w:val="007C71BD"/>
    <w:rsid w:val="007C7C06"/>
    <w:rsid w:val="007D1382"/>
    <w:rsid w:val="007D3894"/>
    <w:rsid w:val="007D520A"/>
    <w:rsid w:val="007D531D"/>
    <w:rsid w:val="007D5675"/>
    <w:rsid w:val="007D794D"/>
    <w:rsid w:val="007D7EB9"/>
    <w:rsid w:val="007E09A3"/>
    <w:rsid w:val="007E0E83"/>
    <w:rsid w:val="007E2650"/>
    <w:rsid w:val="007E5823"/>
    <w:rsid w:val="007E61D9"/>
    <w:rsid w:val="007E6263"/>
    <w:rsid w:val="007F1AD9"/>
    <w:rsid w:val="007F25C8"/>
    <w:rsid w:val="007F2D6E"/>
    <w:rsid w:val="007F3164"/>
    <w:rsid w:val="007F3558"/>
    <w:rsid w:val="007F4EEF"/>
    <w:rsid w:val="007F5E4D"/>
    <w:rsid w:val="007F5F8C"/>
    <w:rsid w:val="007F68D6"/>
    <w:rsid w:val="007F73B6"/>
    <w:rsid w:val="007F7424"/>
    <w:rsid w:val="00801C33"/>
    <w:rsid w:val="00802885"/>
    <w:rsid w:val="008033AF"/>
    <w:rsid w:val="00803A71"/>
    <w:rsid w:val="00806770"/>
    <w:rsid w:val="00807BF4"/>
    <w:rsid w:val="0081339D"/>
    <w:rsid w:val="008222AC"/>
    <w:rsid w:val="0082267C"/>
    <w:rsid w:val="00823D3D"/>
    <w:rsid w:val="00831718"/>
    <w:rsid w:val="00834D48"/>
    <w:rsid w:val="00834EBB"/>
    <w:rsid w:val="00836608"/>
    <w:rsid w:val="008376DF"/>
    <w:rsid w:val="00844831"/>
    <w:rsid w:val="00844E0E"/>
    <w:rsid w:val="008453D8"/>
    <w:rsid w:val="008502F9"/>
    <w:rsid w:val="0085167A"/>
    <w:rsid w:val="008550E8"/>
    <w:rsid w:val="00856A4D"/>
    <w:rsid w:val="00856CBF"/>
    <w:rsid w:val="00856F1C"/>
    <w:rsid w:val="00856FAC"/>
    <w:rsid w:val="0086096E"/>
    <w:rsid w:val="00864072"/>
    <w:rsid w:val="00864AF5"/>
    <w:rsid w:val="00866475"/>
    <w:rsid w:val="00867AAD"/>
    <w:rsid w:val="00870780"/>
    <w:rsid w:val="00870D0D"/>
    <w:rsid w:val="00871D52"/>
    <w:rsid w:val="00872FB6"/>
    <w:rsid w:val="00874666"/>
    <w:rsid w:val="00877DAA"/>
    <w:rsid w:val="00881B84"/>
    <w:rsid w:val="008905A7"/>
    <w:rsid w:val="00890C7E"/>
    <w:rsid w:val="0089218E"/>
    <w:rsid w:val="00892E02"/>
    <w:rsid w:val="00894E7F"/>
    <w:rsid w:val="008953F0"/>
    <w:rsid w:val="0089790E"/>
    <w:rsid w:val="008A0562"/>
    <w:rsid w:val="008A2222"/>
    <w:rsid w:val="008A2857"/>
    <w:rsid w:val="008A2FC7"/>
    <w:rsid w:val="008A5794"/>
    <w:rsid w:val="008A79F9"/>
    <w:rsid w:val="008B11FB"/>
    <w:rsid w:val="008B365F"/>
    <w:rsid w:val="008B44E7"/>
    <w:rsid w:val="008B48FE"/>
    <w:rsid w:val="008B7651"/>
    <w:rsid w:val="008C00C5"/>
    <w:rsid w:val="008C0FA4"/>
    <w:rsid w:val="008C2D61"/>
    <w:rsid w:val="008C3512"/>
    <w:rsid w:val="008D160D"/>
    <w:rsid w:val="008D1627"/>
    <w:rsid w:val="008D18F8"/>
    <w:rsid w:val="008D2DE6"/>
    <w:rsid w:val="008E2AE1"/>
    <w:rsid w:val="008E60D6"/>
    <w:rsid w:val="008E63D1"/>
    <w:rsid w:val="008F272C"/>
    <w:rsid w:val="008F2AB7"/>
    <w:rsid w:val="008F30E8"/>
    <w:rsid w:val="008F46E8"/>
    <w:rsid w:val="008F648C"/>
    <w:rsid w:val="009012E1"/>
    <w:rsid w:val="00903F71"/>
    <w:rsid w:val="009055C8"/>
    <w:rsid w:val="00906B76"/>
    <w:rsid w:val="00907435"/>
    <w:rsid w:val="009114B0"/>
    <w:rsid w:val="0091764C"/>
    <w:rsid w:val="00917A71"/>
    <w:rsid w:val="009218FC"/>
    <w:rsid w:val="009223E1"/>
    <w:rsid w:val="00923828"/>
    <w:rsid w:val="0092636E"/>
    <w:rsid w:val="009277D3"/>
    <w:rsid w:val="00927C2F"/>
    <w:rsid w:val="00931251"/>
    <w:rsid w:val="00933EC4"/>
    <w:rsid w:val="009346A9"/>
    <w:rsid w:val="009412FF"/>
    <w:rsid w:val="009415AC"/>
    <w:rsid w:val="00941B58"/>
    <w:rsid w:val="00941B62"/>
    <w:rsid w:val="00941F78"/>
    <w:rsid w:val="00944A88"/>
    <w:rsid w:val="0095219E"/>
    <w:rsid w:val="009531F6"/>
    <w:rsid w:val="00955B05"/>
    <w:rsid w:val="00956252"/>
    <w:rsid w:val="00957646"/>
    <w:rsid w:val="00962D73"/>
    <w:rsid w:val="009657A1"/>
    <w:rsid w:val="00965BC5"/>
    <w:rsid w:val="00965E08"/>
    <w:rsid w:val="00966E53"/>
    <w:rsid w:val="009674B5"/>
    <w:rsid w:val="009707DD"/>
    <w:rsid w:val="00971630"/>
    <w:rsid w:val="00971BC6"/>
    <w:rsid w:val="009756D6"/>
    <w:rsid w:val="0098034E"/>
    <w:rsid w:val="00982724"/>
    <w:rsid w:val="00982E0C"/>
    <w:rsid w:val="00983259"/>
    <w:rsid w:val="0098375C"/>
    <w:rsid w:val="00985946"/>
    <w:rsid w:val="00987E47"/>
    <w:rsid w:val="009900AC"/>
    <w:rsid w:val="00990B36"/>
    <w:rsid w:val="00991922"/>
    <w:rsid w:val="00991CDB"/>
    <w:rsid w:val="00991F01"/>
    <w:rsid w:val="0099212F"/>
    <w:rsid w:val="009935B1"/>
    <w:rsid w:val="00994BB5"/>
    <w:rsid w:val="0099637E"/>
    <w:rsid w:val="00996E96"/>
    <w:rsid w:val="0099722E"/>
    <w:rsid w:val="009A2958"/>
    <w:rsid w:val="009A31B8"/>
    <w:rsid w:val="009A5579"/>
    <w:rsid w:val="009A6732"/>
    <w:rsid w:val="009A71AA"/>
    <w:rsid w:val="009B03B9"/>
    <w:rsid w:val="009B0F1D"/>
    <w:rsid w:val="009B1604"/>
    <w:rsid w:val="009B2095"/>
    <w:rsid w:val="009B3F46"/>
    <w:rsid w:val="009B4953"/>
    <w:rsid w:val="009C54A4"/>
    <w:rsid w:val="009C5E66"/>
    <w:rsid w:val="009C6612"/>
    <w:rsid w:val="009C7F11"/>
    <w:rsid w:val="009D15D1"/>
    <w:rsid w:val="009D23AE"/>
    <w:rsid w:val="009D2F6B"/>
    <w:rsid w:val="009D40E8"/>
    <w:rsid w:val="009D6102"/>
    <w:rsid w:val="009D64AA"/>
    <w:rsid w:val="009D7A1F"/>
    <w:rsid w:val="009E28EC"/>
    <w:rsid w:val="009E3F7A"/>
    <w:rsid w:val="009E4928"/>
    <w:rsid w:val="009E4A14"/>
    <w:rsid w:val="009E7580"/>
    <w:rsid w:val="009F2AD8"/>
    <w:rsid w:val="009F3929"/>
    <w:rsid w:val="009F4D17"/>
    <w:rsid w:val="009F5508"/>
    <w:rsid w:val="009F7102"/>
    <w:rsid w:val="00A05C78"/>
    <w:rsid w:val="00A063FC"/>
    <w:rsid w:val="00A06D29"/>
    <w:rsid w:val="00A14160"/>
    <w:rsid w:val="00A14F62"/>
    <w:rsid w:val="00A162D4"/>
    <w:rsid w:val="00A16331"/>
    <w:rsid w:val="00A1672F"/>
    <w:rsid w:val="00A22D47"/>
    <w:rsid w:val="00A2554D"/>
    <w:rsid w:val="00A25F2B"/>
    <w:rsid w:val="00A26A2B"/>
    <w:rsid w:val="00A27B92"/>
    <w:rsid w:val="00A30365"/>
    <w:rsid w:val="00A31FA2"/>
    <w:rsid w:val="00A33F37"/>
    <w:rsid w:val="00A3559A"/>
    <w:rsid w:val="00A357F3"/>
    <w:rsid w:val="00A357F9"/>
    <w:rsid w:val="00A407C2"/>
    <w:rsid w:val="00A40C88"/>
    <w:rsid w:val="00A41019"/>
    <w:rsid w:val="00A41715"/>
    <w:rsid w:val="00A41DE0"/>
    <w:rsid w:val="00A43451"/>
    <w:rsid w:val="00A449E1"/>
    <w:rsid w:val="00A44AE5"/>
    <w:rsid w:val="00A4584B"/>
    <w:rsid w:val="00A4674E"/>
    <w:rsid w:val="00A46F67"/>
    <w:rsid w:val="00A47B8A"/>
    <w:rsid w:val="00A502C9"/>
    <w:rsid w:val="00A5245C"/>
    <w:rsid w:val="00A52C7B"/>
    <w:rsid w:val="00A54D67"/>
    <w:rsid w:val="00A54F43"/>
    <w:rsid w:val="00A55595"/>
    <w:rsid w:val="00A5596E"/>
    <w:rsid w:val="00A60EAB"/>
    <w:rsid w:val="00A612D2"/>
    <w:rsid w:val="00A61519"/>
    <w:rsid w:val="00A625EF"/>
    <w:rsid w:val="00A62D15"/>
    <w:rsid w:val="00A66600"/>
    <w:rsid w:val="00A703D6"/>
    <w:rsid w:val="00A70FBB"/>
    <w:rsid w:val="00A711D9"/>
    <w:rsid w:val="00A71E6E"/>
    <w:rsid w:val="00A72AA9"/>
    <w:rsid w:val="00A73B69"/>
    <w:rsid w:val="00A741E3"/>
    <w:rsid w:val="00A74665"/>
    <w:rsid w:val="00A758B5"/>
    <w:rsid w:val="00A80459"/>
    <w:rsid w:val="00A8430E"/>
    <w:rsid w:val="00A847A7"/>
    <w:rsid w:val="00A8626C"/>
    <w:rsid w:val="00A87786"/>
    <w:rsid w:val="00A93720"/>
    <w:rsid w:val="00A96C1C"/>
    <w:rsid w:val="00A977DD"/>
    <w:rsid w:val="00A97D6B"/>
    <w:rsid w:val="00AA5B6A"/>
    <w:rsid w:val="00AA7524"/>
    <w:rsid w:val="00AB224D"/>
    <w:rsid w:val="00AB2680"/>
    <w:rsid w:val="00AB31F9"/>
    <w:rsid w:val="00AB32FC"/>
    <w:rsid w:val="00AB46F3"/>
    <w:rsid w:val="00AB52EF"/>
    <w:rsid w:val="00AB61B7"/>
    <w:rsid w:val="00AB704D"/>
    <w:rsid w:val="00AB733A"/>
    <w:rsid w:val="00AC39A5"/>
    <w:rsid w:val="00AD0EBF"/>
    <w:rsid w:val="00AD13D2"/>
    <w:rsid w:val="00AD4429"/>
    <w:rsid w:val="00AD6223"/>
    <w:rsid w:val="00AD7652"/>
    <w:rsid w:val="00AD7FF3"/>
    <w:rsid w:val="00AE0FE8"/>
    <w:rsid w:val="00AE1A62"/>
    <w:rsid w:val="00AE4162"/>
    <w:rsid w:val="00AE4F54"/>
    <w:rsid w:val="00AE621C"/>
    <w:rsid w:val="00AF5CE1"/>
    <w:rsid w:val="00AF64F1"/>
    <w:rsid w:val="00AF6FEB"/>
    <w:rsid w:val="00AF76ED"/>
    <w:rsid w:val="00AF7F66"/>
    <w:rsid w:val="00B029EF"/>
    <w:rsid w:val="00B067D5"/>
    <w:rsid w:val="00B1237B"/>
    <w:rsid w:val="00B15E9C"/>
    <w:rsid w:val="00B17935"/>
    <w:rsid w:val="00B17D28"/>
    <w:rsid w:val="00B2242E"/>
    <w:rsid w:val="00B23E28"/>
    <w:rsid w:val="00B260E9"/>
    <w:rsid w:val="00B278E7"/>
    <w:rsid w:val="00B27A6B"/>
    <w:rsid w:val="00B27D7A"/>
    <w:rsid w:val="00B30652"/>
    <w:rsid w:val="00B30A83"/>
    <w:rsid w:val="00B328FE"/>
    <w:rsid w:val="00B33AA9"/>
    <w:rsid w:val="00B33B42"/>
    <w:rsid w:val="00B33E0E"/>
    <w:rsid w:val="00B33E9C"/>
    <w:rsid w:val="00B36685"/>
    <w:rsid w:val="00B37510"/>
    <w:rsid w:val="00B375DC"/>
    <w:rsid w:val="00B40012"/>
    <w:rsid w:val="00B40D31"/>
    <w:rsid w:val="00B42446"/>
    <w:rsid w:val="00B43C08"/>
    <w:rsid w:val="00B4403F"/>
    <w:rsid w:val="00B458C9"/>
    <w:rsid w:val="00B50473"/>
    <w:rsid w:val="00B52FB2"/>
    <w:rsid w:val="00B5453A"/>
    <w:rsid w:val="00B552F7"/>
    <w:rsid w:val="00B56900"/>
    <w:rsid w:val="00B57511"/>
    <w:rsid w:val="00B61569"/>
    <w:rsid w:val="00B66C47"/>
    <w:rsid w:val="00B67725"/>
    <w:rsid w:val="00B71669"/>
    <w:rsid w:val="00B73D61"/>
    <w:rsid w:val="00B7509C"/>
    <w:rsid w:val="00B751EA"/>
    <w:rsid w:val="00B75524"/>
    <w:rsid w:val="00B757BB"/>
    <w:rsid w:val="00B77370"/>
    <w:rsid w:val="00B829A7"/>
    <w:rsid w:val="00B839CA"/>
    <w:rsid w:val="00B83C5B"/>
    <w:rsid w:val="00B849BB"/>
    <w:rsid w:val="00B874CE"/>
    <w:rsid w:val="00B919D7"/>
    <w:rsid w:val="00B9212B"/>
    <w:rsid w:val="00B92DCD"/>
    <w:rsid w:val="00B92F7A"/>
    <w:rsid w:val="00B92FFA"/>
    <w:rsid w:val="00B97C32"/>
    <w:rsid w:val="00BA0036"/>
    <w:rsid w:val="00BA02C8"/>
    <w:rsid w:val="00BA065D"/>
    <w:rsid w:val="00BA252F"/>
    <w:rsid w:val="00BA31BE"/>
    <w:rsid w:val="00BA33C4"/>
    <w:rsid w:val="00BA6984"/>
    <w:rsid w:val="00BB1796"/>
    <w:rsid w:val="00BB2436"/>
    <w:rsid w:val="00BB30C9"/>
    <w:rsid w:val="00BB3FF8"/>
    <w:rsid w:val="00BB5822"/>
    <w:rsid w:val="00BB5CF1"/>
    <w:rsid w:val="00BB6E99"/>
    <w:rsid w:val="00BB6FCC"/>
    <w:rsid w:val="00BB7795"/>
    <w:rsid w:val="00BC0FAA"/>
    <w:rsid w:val="00BC1186"/>
    <w:rsid w:val="00BC4756"/>
    <w:rsid w:val="00BC49DA"/>
    <w:rsid w:val="00BC7EFD"/>
    <w:rsid w:val="00BD00D3"/>
    <w:rsid w:val="00BD2C09"/>
    <w:rsid w:val="00BD4949"/>
    <w:rsid w:val="00BD4AEC"/>
    <w:rsid w:val="00BE1077"/>
    <w:rsid w:val="00BE4C10"/>
    <w:rsid w:val="00BF2F00"/>
    <w:rsid w:val="00BF3BEC"/>
    <w:rsid w:val="00BF6CAA"/>
    <w:rsid w:val="00C02480"/>
    <w:rsid w:val="00C02C94"/>
    <w:rsid w:val="00C031C7"/>
    <w:rsid w:val="00C03559"/>
    <w:rsid w:val="00C039BB"/>
    <w:rsid w:val="00C07CA8"/>
    <w:rsid w:val="00C10617"/>
    <w:rsid w:val="00C13138"/>
    <w:rsid w:val="00C1415E"/>
    <w:rsid w:val="00C145ED"/>
    <w:rsid w:val="00C21D0D"/>
    <w:rsid w:val="00C24CFD"/>
    <w:rsid w:val="00C25981"/>
    <w:rsid w:val="00C34F5C"/>
    <w:rsid w:val="00C35547"/>
    <w:rsid w:val="00C41BB8"/>
    <w:rsid w:val="00C42622"/>
    <w:rsid w:val="00C43BD1"/>
    <w:rsid w:val="00C45A48"/>
    <w:rsid w:val="00C46B0C"/>
    <w:rsid w:val="00C51695"/>
    <w:rsid w:val="00C53E63"/>
    <w:rsid w:val="00C555FA"/>
    <w:rsid w:val="00C55D95"/>
    <w:rsid w:val="00C56B33"/>
    <w:rsid w:val="00C56C36"/>
    <w:rsid w:val="00C6037F"/>
    <w:rsid w:val="00C622A6"/>
    <w:rsid w:val="00C65F69"/>
    <w:rsid w:val="00C666BD"/>
    <w:rsid w:val="00C678A7"/>
    <w:rsid w:val="00C70E22"/>
    <w:rsid w:val="00C712AB"/>
    <w:rsid w:val="00C72C6A"/>
    <w:rsid w:val="00C7348F"/>
    <w:rsid w:val="00C75B62"/>
    <w:rsid w:val="00C75FC7"/>
    <w:rsid w:val="00C80E8C"/>
    <w:rsid w:val="00C87ABF"/>
    <w:rsid w:val="00C93EE9"/>
    <w:rsid w:val="00CA0246"/>
    <w:rsid w:val="00CA1080"/>
    <w:rsid w:val="00CA4E24"/>
    <w:rsid w:val="00CA73D6"/>
    <w:rsid w:val="00CA7A9A"/>
    <w:rsid w:val="00CA7BA5"/>
    <w:rsid w:val="00CB1E5C"/>
    <w:rsid w:val="00CB7CE4"/>
    <w:rsid w:val="00CC0CD3"/>
    <w:rsid w:val="00CC0F59"/>
    <w:rsid w:val="00CC28E2"/>
    <w:rsid w:val="00CC49B3"/>
    <w:rsid w:val="00CC5560"/>
    <w:rsid w:val="00CC7C74"/>
    <w:rsid w:val="00CD0C2B"/>
    <w:rsid w:val="00CD190F"/>
    <w:rsid w:val="00CD2664"/>
    <w:rsid w:val="00CE29B9"/>
    <w:rsid w:val="00CE5EC5"/>
    <w:rsid w:val="00CE64C1"/>
    <w:rsid w:val="00CE6DA7"/>
    <w:rsid w:val="00CE7C69"/>
    <w:rsid w:val="00CF0072"/>
    <w:rsid w:val="00CF0A23"/>
    <w:rsid w:val="00CF367B"/>
    <w:rsid w:val="00CF4090"/>
    <w:rsid w:val="00CF6C01"/>
    <w:rsid w:val="00CF7BC8"/>
    <w:rsid w:val="00D018F1"/>
    <w:rsid w:val="00D037C8"/>
    <w:rsid w:val="00D13548"/>
    <w:rsid w:val="00D13697"/>
    <w:rsid w:val="00D1729B"/>
    <w:rsid w:val="00D22290"/>
    <w:rsid w:val="00D2335C"/>
    <w:rsid w:val="00D25A9E"/>
    <w:rsid w:val="00D3009B"/>
    <w:rsid w:val="00D33E3E"/>
    <w:rsid w:val="00D35093"/>
    <w:rsid w:val="00D35843"/>
    <w:rsid w:val="00D37D71"/>
    <w:rsid w:val="00D40738"/>
    <w:rsid w:val="00D41858"/>
    <w:rsid w:val="00D41F9A"/>
    <w:rsid w:val="00D42295"/>
    <w:rsid w:val="00D462C4"/>
    <w:rsid w:val="00D50367"/>
    <w:rsid w:val="00D53B49"/>
    <w:rsid w:val="00D542A9"/>
    <w:rsid w:val="00D5531B"/>
    <w:rsid w:val="00D554C8"/>
    <w:rsid w:val="00D57DE6"/>
    <w:rsid w:val="00D61172"/>
    <w:rsid w:val="00D61308"/>
    <w:rsid w:val="00D62583"/>
    <w:rsid w:val="00D63712"/>
    <w:rsid w:val="00D71387"/>
    <w:rsid w:val="00D71F0A"/>
    <w:rsid w:val="00D8409A"/>
    <w:rsid w:val="00D916A6"/>
    <w:rsid w:val="00D930B3"/>
    <w:rsid w:val="00D93976"/>
    <w:rsid w:val="00D94520"/>
    <w:rsid w:val="00D94913"/>
    <w:rsid w:val="00D96400"/>
    <w:rsid w:val="00D96A09"/>
    <w:rsid w:val="00D976F6"/>
    <w:rsid w:val="00DA0887"/>
    <w:rsid w:val="00DA1FB6"/>
    <w:rsid w:val="00DA2980"/>
    <w:rsid w:val="00DA7DCA"/>
    <w:rsid w:val="00DB1AA5"/>
    <w:rsid w:val="00DB3337"/>
    <w:rsid w:val="00DB4201"/>
    <w:rsid w:val="00DB4BAB"/>
    <w:rsid w:val="00DB4DB6"/>
    <w:rsid w:val="00DB555C"/>
    <w:rsid w:val="00DB7451"/>
    <w:rsid w:val="00DC18DE"/>
    <w:rsid w:val="00DC1DAF"/>
    <w:rsid w:val="00DC2624"/>
    <w:rsid w:val="00DC454A"/>
    <w:rsid w:val="00DC5415"/>
    <w:rsid w:val="00DC717D"/>
    <w:rsid w:val="00DD0697"/>
    <w:rsid w:val="00DD1A0A"/>
    <w:rsid w:val="00DE0A19"/>
    <w:rsid w:val="00DE0B2F"/>
    <w:rsid w:val="00DE373D"/>
    <w:rsid w:val="00DE3A6B"/>
    <w:rsid w:val="00DE6891"/>
    <w:rsid w:val="00DF0313"/>
    <w:rsid w:val="00E01541"/>
    <w:rsid w:val="00E025DC"/>
    <w:rsid w:val="00E028A9"/>
    <w:rsid w:val="00E07009"/>
    <w:rsid w:val="00E07D9D"/>
    <w:rsid w:val="00E101D8"/>
    <w:rsid w:val="00E109C3"/>
    <w:rsid w:val="00E11A61"/>
    <w:rsid w:val="00E12500"/>
    <w:rsid w:val="00E13861"/>
    <w:rsid w:val="00E1393F"/>
    <w:rsid w:val="00E1472C"/>
    <w:rsid w:val="00E14C06"/>
    <w:rsid w:val="00E2095C"/>
    <w:rsid w:val="00E21E4B"/>
    <w:rsid w:val="00E23D2B"/>
    <w:rsid w:val="00E258AF"/>
    <w:rsid w:val="00E261A7"/>
    <w:rsid w:val="00E3154B"/>
    <w:rsid w:val="00E31AD1"/>
    <w:rsid w:val="00E37BB9"/>
    <w:rsid w:val="00E40221"/>
    <w:rsid w:val="00E41436"/>
    <w:rsid w:val="00E42998"/>
    <w:rsid w:val="00E432FC"/>
    <w:rsid w:val="00E52AB2"/>
    <w:rsid w:val="00E53EF7"/>
    <w:rsid w:val="00E5562A"/>
    <w:rsid w:val="00E55A6B"/>
    <w:rsid w:val="00E62D60"/>
    <w:rsid w:val="00E6326C"/>
    <w:rsid w:val="00E64DD7"/>
    <w:rsid w:val="00E64EE1"/>
    <w:rsid w:val="00E656C5"/>
    <w:rsid w:val="00E667CF"/>
    <w:rsid w:val="00E807F0"/>
    <w:rsid w:val="00E83EE3"/>
    <w:rsid w:val="00E84B15"/>
    <w:rsid w:val="00E86F5D"/>
    <w:rsid w:val="00E879F0"/>
    <w:rsid w:val="00E909E4"/>
    <w:rsid w:val="00E91FB3"/>
    <w:rsid w:val="00E97276"/>
    <w:rsid w:val="00E9767A"/>
    <w:rsid w:val="00EA2C73"/>
    <w:rsid w:val="00EA3C2A"/>
    <w:rsid w:val="00EA669C"/>
    <w:rsid w:val="00EA6A3B"/>
    <w:rsid w:val="00EA7BA3"/>
    <w:rsid w:val="00EB2AF2"/>
    <w:rsid w:val="00EB2BC1"/>
    <w:rsid w:val="00EB3D93"/>
    <w:rsid w:val="00EB6EA1"/>
    <w:rsid w:val="00EB799A"/>
    <w:rsid w:val="00EB7BDE"/>
    <w:rsid w:val="00EB7EB0"/>
    <w:rsid w:val="00EC0C3B"/>
    <w:rsid w:val="00EC0DB8"/>
    <w:rsid w:val="00EC1412"/>
    <w:rsid w:val="00EC41D9"/>
    <w:rsid w:val="00EC7E19"/>
    <w:rsid w:val="00ED0890"/>
    <w:rsid w:val="00ED175D"/>
    <w:rsid w:val="00ED22CD"/>
    <w:rsid w:val="00ED457C"/>
    <w:rsid w:val="00ED6267"/>
    <w:rsid w:val="00EE2A00"/>
    <w:rsid w:val="00EE35F8"/>
    <w:rsid w:val="00EE523C"/>
    <w:rsid w:val="00EF11A7"/>
    <w:rsid w:val="00EF267C"/>
    <w:rsid w:val="00EF3A7E"/>
    <w:rsid w:val="00EF4BA5"/>
    <w:rsid w:val="00EF5455"/>
    <w:rsid w:val="00EF651F"/>
    <w:rsid w:val="00F03CB7"/>
    <w:rsid w:val="00F04C49"/>
    <w:rsid w:val="00F062E4"/>
    <w:rsid w:val="00F145A4"/>
    <w:rsid w:val="00F14CE1"/>
    <w:rsid w:val="00F165AB"/>
    <w:rsid w:val="00F17DB7"/>
    <w:rsid w:val="00F207BF"/>
    <w:rsid w:val="00F2159B"/>
    <w:rsid w:val="00F217B1"/>
    <w:rsid w:val="00F25B14"/>
    <w:rsid w:val="00F261BD"/>
    <w:rsid w:val="00F31BF6"/>
    <w:rsid w:val="00F32B91"/>
    <w:rsid w:val="00F4149C"/>
    <w:rsid w:val="00F43968"/>
    <w:rsid w:val="00F47151"/>
    <w:rsid w:val="00F476CA"/>
    <w:rsid w:val="00F47A25"/>
    <w:rsid w:val="00F500CF"/>
    <w:rsid w:val="00F5091E"/>
    <w:rsid w:val="00F5113A"/>
    <w:rsid w:val="00F513B7"/>
    <w:rsid w:val="00F5434C"/>
    <w:rsid w:val="00F56198"/>
    <w:rsid w:val="00F644C0"/>
    <w:rsid w:val="00F6676C"/>
    <w:rsid w:val="00F741AF"/>
    <w:rsid w:val="00F76309"/>
    <w:rsid w:val="00F80F24"/>
    <w:rsid w:val="00F828FE"/>
    <w:rsid w:val="00F837D3"/>
    <w:rsid w:val="00F8465D"/>
    <w:rsid w:val="00F84DE8"/>
    <w:rsid w:val="00F87223"/>
    <w:rsid w:val="00F943AA"/>
    <w:rsid w:val="00F94E0A"/>
    <w:rsid w:val="00F9576E"/>
    <w:rsid w:val="00F973BB"/>
    <w:rsid w:val="00FA098A"/>
    <w:rsid w:val="00FA1639"/>
    <w:rsid w:val="00FA3E7F"/>
    <w:rsid w:val="00FA55D8"/>
    <w:rsid w:val="00FA5C3B"/>
    <w:rsid w:val="00FA69B9"/>
    <w:rsid w:val="00FB25E3"/>
    <w:rsid w:val="00FC0823"/>
    <w:rsid w:val="00FC60AB"/>
    <w:rsid w:val="00FC6681"/>
    <w:rsid w:val="00FD30CF"/>
    <w:rsid w:val="00FD4446"/>
    <w:rsid w:val="00FD47F9"/>
    <w:rsid w:val="00FD4CDC"/>
    <w:rsid w:val="00FD5AEB"/>
    <w:rsid w:val="00FD79B9"/>
    <w:rsid w:val="00FE032E"/>
    <w:rsid w:val="00FE0474"/>
    <w:rsid w:val="00FE0D14"/>
    <w:rsid w:val="00FE2355"/>
    <w:rsid w:val="00FE4543"/>
    <w:rsid w:val="00FE4E36"/>
    <w:rsid w:val="00FE61A5"/>
    <w:rsid w:val="00FF1C8C"/>
    <w:rsid w:val="00FF2D4C"/>
    <w:rsid w:val="00FF64BA"/>
    <w:rsid w:val="00FF6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460FB"/>
  <w15:docId w15:val="{1DAF52FC-FF0C-4843-82F0-D22C403F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2FC"/>
    <w:pPr>
      <w:spacing w:after="0"/>
    </w:pPr>
    <w:rPr>
      <w:sz w:val="20"/>
    </w:rPr>
  </w:style>
  <w:style w:type="paragraph" w:styleId="Kop1">
    <w:name w:val="heading 1"/>
    <w:basedOn w:val="Kop2"/>
    <w:next w:val="Standaard"/>
    <w:link w:val="Kop1Char1"/>
    <w:autoRedefine/>
    <w:qFormat/>
    <w:rsid w:val="00EF267C"/>
    <w:pPr>
      <w:numPr>
        <w:ilvl w:val="0"/>
      </w:numPr>
      <w:outlineLvl w:val="0"/>
    </w:pPr>
    <w:rPr>
      <w:sz w:val="32"/>
      <w:szCs w:val="32"/>
    </w:rPr>
  </w:style>
  <w:style w:type="paragraph" w:styleId="Kop2">
    <w:name w:val="heading 2"/>
    <w:basedOn w:val="Standaard"/>
    <w:next w:val="Standaard"/>
    <w:link w:val="Kop2Char1"/>
    <w:autoRedefine/>
    <w:qFormat/>
    <w:rsid w:val="0074209B"/>
    <w:pPr>
      <w:keepNext/>
      <w:keepLines/>
      <w:numPr>
        <w:ilvl w:val="1"/>
        <w:numId w:val="2"/>
      </w:numPr>
      <w:tabs>
        <w:tab w:val="left" w:pos="0"/>
      </w:tabs>
      <w:spacing w:after="120"/>
      <w:jc w:val="both"/>
      <w:outlineLvl w:val="1"/>
    </w:pPr>
    <w:rPr>
      <w:rFonts w:eastAsiaTheme="majorEastAsia" w:cstheme="majorBidi"/>
      <w:b/>
      <w:bCs/>
      <w:caps/>
      <w:sz w:val="24"/>
      <w:szCs w:val="24"/>
    </w:rPr>
  </w:style>
  <w:style w:type="paragraph" w:styleId="Kop3">
    <w:name w:val="heading 3"/>
    <w:basedOn w:val="Standaard"/>
    <w:next w:val="Standaard"/>
    <w:link w:val="Kop3Char"/>
    <w:autoRedefine/>
    <w:qFormat/>
    <w:rsid w:val="00941B62"/>
    <w:pPr>
      <w:keepNext/>
      <w:keepLines/>
      <w:numPr>
        <w:ilvl w:val="2"/>
        <w:numId w:val="2"/>
      </w:numPr>
      <w:tabs>
        <w:tab w:val="left" w:pos="0"/>
      </w:tabs>
      <w:jc w:val="both"/>
      <w:outlineLvl w:val="2"/>
    </w:pPr>
    <w:rPr>
      <w:rFonts w:eastAsiaTheme="majorEastAsia" w:cstheme="majorBidi"/>
      <w:b/>
      <w:bCs/>
      <w:caps/>
      <w:szCs w:val="24"/>
    </w:rPr>
  </w:style>
  <w:style w:type="paragraph" w:styleId="Kop4">
    <w:name w:val="heading 4"/>
    <w:basedOn w:val="Standaard"/>
    <w:next w:val="Standaard"/>
    <w:link w:val="Kop4Char"/>
    <w:uiPriority w:val="9"/>
    <w:semiHidden/>
    <w:unhideWhenUsed/>
    <w:qFormat/>
    <w:rsid w:val="00EF4BA5"/>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41B62"/>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941B62"/>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941B62"/>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941B62"/>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41B62"/>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rsid w:val="00917A71"/>
    <w:rPr>
      <w:b/>
      <w:szCs w:val="24"/>
      <w:lang w:eastAsia="nl-NL"/>
    </w:rPr>
  </w:style>
  <w:style w:type="character" w:customStyle="1" w:styleId="Kop2Char1">
    <w:name w:val="Kop 2 Char1"/>
    <w:basedOn w:val="Standaardalinea-lettertype"/>
    <w:link w:val="Kop2"/>
    <w:rsid w:val="0074209B"/>
    <w:rPr>
      <w:rFonts w:eastAsiaTheme="majorEastAsia" w:cstheme="majorBidi"/>
      <w:b/>
      <w:bCs/>
      <w:caps/>
      <w:sz w:val="24"/>
      <w:szCs w:val="24"/>
    </w:rPr>
  </w:style>
  <w:style w:type="character" w:customStyle="1" w:styleId="Kop1Char">
    <w:name w:val="Kop 1 Char"/>
    <w:aliases w:val="Kop 1 Char1 Char1,Kop 1 Char1 Char Char,Kop 1 Char Char Char Char"/>
    <w:basedOn w:val="Standaardalinea-lettertype"/>
    <w:rsid w:val="00917A71"/>
    <w:rPr>
      <w:b/>
      <w:bCs/>
      <w:caps/>
      <w:sz w:val="24"/>
      <w:szCs w:val="24"/>
      <w:lang w:eastAsia="nl-NL"/>
    </w:rPr>
  </w:style>
  <w:style w:type="character" w:customStyle="1" w:styleId="Kop1Char1">
    <w:name w:val="Kop 1 Char1"/>
    <w:basedOn w:val="Standaardalinea-lettertype"/>
    <w:link w:val="Kop1"/>
    <w:rsid w:val="00EF267C"/>
    <w:rPr>
      <w:rFonts w:eastAsiaTheme="majorEastAsia" w:cstheme="majorBidi"/>
      <w:b/>
      <w:bCs/>
      <w:caps/>
      <w:sz w:val="32"/>
      <w:szCs w:val="32"/>
    </w:rPr>
  </w:style>
  <w:style w:type="character" w:customStyle="1" w:styleId="Kop3Char">
    <w:name w:val="Kop 3 Char"/>
    <w:basedOn w:val="Standaardalinea-lettertype"/>
    <w:link w:val="Kop3"/>
    <w:rsid w:val="00941B62"/>
    <w:rPr>
      <w:rFonts w:eastAsiaTheme="majorEastAsia" w:cstheme="majorBidi"/>
      <w:b/>
      <w:bCs/>
      <w:caps/>
      <w:sz w:val="20"/>
      <w:szCs w:val="24"/>
    </w:rPr>
  </w:style>
  <w:style w:type="paragraph" w:styleId="Geenafstand">
    <w:name w:val="No Spacing"/>
    <w:link w:val="GeenafstandChar"/>
    <w:uiPriority w:val="1"/>
    <w:qFormat/>
    <w:rsid w:val="00DC717D"/>
    <w:pPr>
      <w:spacing w:after="0"/>
    </w:pPr>
    <w:rPr>
      <w:rFonts w:ascii="Arial" w:hAnsi="Arial"/>
      <w:sz w:val="20"/>
    </w:rPr>
  </w:style>
  <w:style w:type="paragraph" w:styleId="Koptekst">
    <w:name w:val="header"/>
    <w:basedOn w:val="Standaard"/>
    <w:link w:val="KoptekstChar"/>
    <w:uiPriority w:val="99"/>
    <w:unhideWhenUsed/>
    <w:rsid w:val="00752ACB"/>
    <w:pPr>
      <w:tabs>
        <w:tab w:val="center" w:pos="4536"/>
        <w:tab w:val="right" w:pos="9072"/>
      </w:tabs>
    </w:pPr>
  </w:style>
  <w:style w:type="character" w:customStyle="1" w:styleId="KoptekstChar">
    <w:name w:val="Koptekst Char"/>
    <w:basedOn w:val="Standaardalinea-lettertype"/>
    <w:link w:val="Koptekst"/>
    <w:uiPriority w:val="99"/>
    <w:rsid w:val="00752ACB"/>
    <w:rPr>
      <w:rFonts w:ascii="Arial" w:hAnsi="Arial"/>
      <w:sz w:val="20"/>
    </w:rPr>
  </w:style>
  <w:style w:type="paragraph" w:styleId="Voettekst">
    <w:name w:val="footer"/>
    <w:basedOn w:val="Standaard"/>
    <w:link w:val="VoettekstChar"/>
    <w:uiPriority w:val="99"/>
    <w:unhideWhenUsed/>
    <w:rsid w:val="00752ACB"/>
    <w:pPr>
      <w:tabs>
        <w:tab w:val="center" w:pos="4536"/>
        <w:tab w:val="right" w:pos="9072"/>
      </w:tabs>
    </w:pPr>
  </w:style>
  <w:style w:type="character" w:customStyle="1" w:styleId="VoettekstChar">
    <w:name w:val="Voettekst Char"/>
    <w:basedOn w:val="Standaardalinea-lettertype"/>
    <w:link w:val="Voettekst"/>
    <w:uiPriority w:val="99"/>
    <w:rsid w:val="00752ACB"/>
    <w:rPr>
      <w:rFonts w:ascii="Arial" w:hAnsi="Arial"/>
      <w:sz w:val="20"/>
    </w:rPr>
  </w:style>
  <w:style w:type="paragraph" w:styleId="Ballontekst">
    <w:name w:val="Balloon Text"/>
    <w:basedOn w:val="Standaard"/>
    <w:link w:val="BallontekstChar"/>
    <w:uiPriority w:val="99"/>
    <w:semiHidden/>
    <w:unhideWhenUsed/>
    <w:rsid w:val="00752ACB"/>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ACB"/>
    <w:rPr>
      <w:rFonts w:ascii="Tahoma" w:hAnsi="Tahoma" w:cs="Tahoma"/>
      <w:sz w:val="16"/>
      <w:szCs w:val="16"/>
    </w:rPr>
  </w:style>
  <w:style w:type="table" w:styleId="Tabelraster">
    <w:name w:val="Table Grid"/>
    <w:basedOn w:val="Standaardtabel"/>
    <w:uiPriority w:val="59"/>
    <w:rsid w:val="000C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DC717D"/>
    <w:rPr>
      <w:rFonts w:ascii="Arial" w:hAnsi="Arial"/>
      <w:sz w:val="20"/>
    </w:rPr>
  </w:style>
  <w:style w:type="paragraph" w:styleId="Inhopg1">
    <w:name w:val="toc 1"/>
    <w:basedOn w:val="Standaard"/>
    <w:next w:val="Standaard"/>
    <w:autoRedefine/>
    <w:uiPriority w:val="39"/>
    <w:unhideWhenUsed/>
    <w:rsid w:val="00C41BB8"/>
    <w:pPr>
      <w:spacing w:before="120" w:after="120"/>
    </w:pPr>
    <w:rPr>
      <w:b/>
      <w:bCs/>
      <w:caps/>
      <w:szCs w:val="20"/>
    </w:rPr>
  </w:style>
  <w:style w:type="paragraph" w:styleId="Inhopg2">
    <w:name w:val="toc 2"/>
    <w:basedOn w:val="Standaard"/>
    <w:next w:val="Standaard"/>
    <w:autoRedefine/>
    <w:uiPriority w:val="39"/>
    <w:unhideWhenUsed/>
    <w:rsid w:val="00C41BB8"/>
    <w:pPr>
      <w:ind w:left="200"/>
    </w:pPr>
    <w:rPr>
      <w:smallCaps/>
      <w:szCs w:val="20"/>
    </w:rPr>
  </w:style>
  <w:style w:type="paragraph" w:styleId="Inhopg3">
    <w:name w:val="toc 3"/>
    <w:basedOn w:val="Standaard"/>
    <w:next w:val="Standaard"/>
    <w:autoRedefine/>
    <w:uiPriority w:val="39"/>
    <w:unhideWhenUsed/>
    <w:rsid w:val="00C41BB8"/>
    <w:pPr>
      <w:ind w:left="400"/>
    </w:pPr>
    <w:rPr>
      <w:i/>
      <w:iCs/>
      <w:szCs w:val="20"/>
    </w:rPr>
  </w:style>
  <w:style w:type="paragraph" w:styleId="Inhopg4">
    <w:name w:val="toc 4"/>
    <w:basedOn w:val="Standaard"/>
    <w:next w:val="Standaard"/>
    <w:autoRedefine/>
    <w:uiPriority w:val="39"/>
    <w:unhideWhenUsed/>
    <w:rsid w:val="00C41BB8"/>
    <w:pPr>
      <w:ind w:left="600"/>
    </w:pPr>
    <w:rPr>
      <w:sz w:val="18"/>
      <w:szCs w:val="18"/>
    </w:rPr>
  </w:style>
  <w:style w:type="paragraph" w:styleId="Inhopg5">
    <w:name w:val="toc 5"/>
    <w:basedOn w:val="Standaard"/>
    <w:next w:val="Standaard"/>
    <w:autoRedefine/>
    <w:uiPriority w:val="39"/>
    <w:unhideWhenUsed/>
    <w:rsid w:val="00C41BB8"/>
    <w:pPr>
      <w:ind w:left="800"/>
    </w:pPr>
    <w:rPr>
      <w:sz w:val="18"/>
      <w:szCs w:val="18"/>
    </w:rPr>
  </w:style>
  <w:style w:type="paragraph" w:styleId="Inhopg6">
    <w:name w:val="toc 6"/>
    <w:basedOn w:val="Standaard"/>
    <w:next w:val="Standaard"/>
    <w:autoRedefine/>
    <w:uiPriority w:val="39"/>
    <w:unhideWhenUsed/>
    <w:rsid w:val="00C41BB8"/>
    <w:pPr>
      <w:ind w:left="1000"/>
    </w:pPr>
    <w:rPr>
      <w:sz w:val="18"/>
      <w:szCs w:val="18"/>
    </w:rPr>
  </w:style>
  <w:style w:type="paragraph" w:styleId="Inhopg7">
    <w:name w:val="toc 7"/>
    <w:basedOn w:val="Standaard"/>
    <w:next w:val="Standaard"/>
    <w:autoRedefine/>
    <w:uiPriority w:val="39"/>
    <w:unhideWhenUsed/>
    <w:rsid w:val="00C41BB8"/>
    <w:pPr>
      <w:ind w:left="1200"/>
    </w:pPr>
    <w:rPr>
      <w:sz w:val="18"/>
      <w:szCs w:val="18"/>
    </w:rPr>
  </w:style>
  <w:style w:type="paragraph" w:styleId="Inhopg8">
    <w:name w:val="toc 8"/>
    <w:basedOn w:val="Standaard"/>
    <w:next w:val="Standaard"/>
    <w:autoRedefine/>
    <w:uiPriority w:val="39"/>
    <w:unhideWhenUsed/>
    <w:rsid w:val="00C41BB8"/>
    <w:pPr>
      <w:ind w:left="1400"/>
    </w:pPr>
    <w:rPr>
      <w:sz w:val="18"/>
      <w:szCs w:val="18"/>
    </w:rPr>
  </w:style>
  <w:style w:type="paragraph" w:styleId="Inhopg9">
    <w:name w:val="toc 9"/>
    <w:basedOn w:val="Standaard"/>
    <w:next w:val="Standaard"/>
    <w:autoRedefine/>
    <w:uiPriority w:val="39"/>
    <w:unhideWhenUsed/>
    <w:rsid w:val="00C41BB8"/>
    <w:pPr>
      <w:ind w:left="1600"/>
    </w:pPr>
    <w:rPr>
      <w:sz w:val="18"/>
      <w:szCs w:val="18"/>
    </w:rPr>
  </w:style>
  <w:style w:type="character" w:styleId="Hyperlink">
    <w:name w:val="Hyperlink"/>
    <w:basedOn w:val="Standaardalinea-lettertype"/>
    <w:uiPriority w:val="99"/>
    <w:unhideWhenUsed/>
    <w:rsid w:val="00AB52EF"/>
    <w:rPr>
      <w:rFonts w:ascii="Arial" w:hAnsi="Arial"/>
      <w:color w:val="auto"/>
      <w:sz w:val="18"/>
      <w:u w:val="single"/>
    </w:rPr>
  </w:style>
  <w:style w:type="paragraph" w:styleId="Lijstalinea">
    <w:name w:val="List Paragraph"/>
    <w:basedOn w:val="Standaard"/>
    <w:uiPriority w:val="34"/>
    <w:qFormat/>
    <w:rsid w:val="00C41BB8"/>
    <w:pPr>
      <w:ind w:left="720"/>
      <w:contextualSpacing/>
    </w:pPr>
  </w:style>
  <w:style w:type="paragraph" w:styleId="Kopvaninhoudsopgave">
    <w:name w:val="TOC Heading"/>
    <w:basedOn w:val="Kop1"/>
    <w:next w:val="Standaard"/>
    <w:uiPriority w:val="39"/>
    <w:unhideWhenUsed/>
    <w:qFormat/>
    <w:rsid w:val="00C41BB8"/>
    <w:pPr>
      <w:numPr>
        <w:numId w:val="0"/>
      </w:numPr>
      <w:spacing w:before="480"/>
      <w:jc w:val="left"/>
      <w:outlineLvl w:val="9"/>
    </w:pPr>
    <w:rPr>
      <w:rFonts w:asciiTheme="majorHAnsi" w:hAnsiTheme="majorHAnsi"/>
      <w:bCs w:val="0"/>
      <w:color w:val="365F91" w:themeColor="accent1" w:themeShade="BF"/>
      <w:sz w:val="28"/>
      <w:szCs w:val="28"/>
      <w:lang w:eastAsia="nl-NL"/>
    </w:rPr>
  </w:style>
  <w:style w:type="character" w:customStyle="1" w:styleId="highlight">
    <w:name w:val="highlight"/>
    <w:basedOn w:val="Standaardalinea-lettertype"/>
    <w:rsid w:val="004442BC"/>
  </w:style>
  <w:style w:type="character" w:styleId="Zwaar">
    <w:name w:val="Strong"/>
    <w:basedOn w:val="Standaardalinea-lettertype"/>
    <w:uiPriority w:val="22"/>
    <w:qFormat/>
    <w:rsid w:val="003C0E7E"/>
    <w:rPr>
      <w:b/>
      <w:bCs/>
    </w:rPr>
  </w:style>
  <w:style w:type="paragraph" w:styleId="Plattetekstinspringen2">
    <w:name w:val="Body Text Indent 2"/>
    <w:basedOn w:val="Standaard"/>
    <w:link w:val="Plattetekstinspringen2Char"/>
    <w:semiHidden/>
    <w:rsid w:val="003853BE"/>
    <w:pPr>
      <w:tabs>
        <w:tab w:val="left" w:pos="-1130"/>
        <w:tab w:val="left" w:pos="-564"/>
        <w:tab w:val="left" w:pos="0"/>
        <w:tab w:val="left" w:pos="163"/>
        <w:tab w:val="left" w:pos="215"/>
        <w:tab w:val="left" w:pos="566"/>
        <w:tab w:val="left" w:pos="1132"/>
        <w:tab w:val="left" w:pos="1698"/>
        <w:tab w:val="left" w:pos="2264"/>
        <w:tab w:val="left" w:pos="2830"/>
        <w:tab w:val="left" w:pos="3396"/>
        <w:tab w:val="left" w:pos="3962"/>
        <w:tab w:val="left" w:pos="4528"/>
      </w:tabs>
      <w:ind w:left="215" w:hanging="215"/>
    </w:pPr>
    <w:rPr>
      <w:rFonts w:eastAsia="Times New Roman" w:cs="Arial"/>
      <w:szCs w:val="18"/>
      <w:lang w:eastAsia="nl-NL"/>
    </w:rPr>
  </w:style>
  <w:style w:type="character" w:customStyle="1" w:styleId="Plattetekstinspringen2Char">
    <w:name w:val="Platte tekst inspringen 2 Char"/>
    <w:basedOn w:val="Standaardalinea-lettertype"/>
    <w:link w:val="Plattetekstinspringen2"/>
    <w:semiHidden/>
    <w:rsid w:val="003853BE"/>
    <w:rPr>
      <w:rFonts w:ascii="Arial" w:eastAsia="Times New Roman" w:hAnsi="Arial" w:cs="Arial"/>
      <w:sz w:val="20"/>
      <w:szCs w:val="18"/>
      <w:lang w:eastAsia="nl-NL"/>
    </w:rPr>
  </w:style>
  <w:style w:type="paragraph" w:customStyle="1" w:styleId="Opsomming">
    <w:name w:val="Opsomming"/>
    <w:basedOn w:val="Standaard"/>
    <w:qFormat/>
    <w:rsid w:val="00F94E0A"/>
    <w:pPr>
      <w:numPr>
        <w:numId w:val="1"/>
      </w:numPr>
      <w:tabs>
        <w:tab w:val="clear" w:pos="1774"/>
        <w:tab w:val="num" w:pos="176"/>
      </w:tabs>
      <w:ind w:left="176" w:hanging="176"/>
      <w:jc w:val="both"/>
    </w:pPr>
    <w:rPr>
      <w:sz w:val="16"/>
      <w:szCs w:val="16"/>
    </w:rPr>
  </w:style>
  <w:style w:type="character" w:customStyle="1" w:styleId="Kop4Char">
    <w:name w:val="Kop 4 Char"/>
    <w:basedOn w:val="Standaardalinea-lettertype"/>
    <w:link w:val="Kop4"/>
    <w:uiPriority w:val="9"/>
    <w:semiHidden/>
    <w:rsid w:val="00EF4BA5"/>
    <w:rPr>
      <w:rFonts w:asciiTheme="majorHAnsi" w:eastAsiaTheme="majorEastAsia" w:hAnsiTheme="majorHAnsi" w:cstheme="majorBidi"/>
      <w:b/>
      <w:bCs/>
      <w:i/>
      <w:iCs/>
      <w:color w:val="4F81BD" w:themeColor="accent1"/>
      <w:sz w:val="20"/>
    </w:rPr>
  </w:style>
  <w:style w:type="paragraph" w:styleId="Documentstructuur">
    <w:name w:val="Document Map"/>
    <w:basedOn w:val="Standaard"/>
    <w:link w:val="DocumentstructuurChar"/>
    <w:uiPriority w:val="99"/>
    <w:semiHidden/>
    <w:unhideWhenUsed/>
    <w:rsid w:val="00C43BD1"/>
    <w:rPr>
      <w:rFonts w:ascii="Tahoma" w:eastAsia="Times New Roman" w:hAnsi="Tahoma" w:cs="Tahoma"/>
      <w:sz w:val="16"/>
      <w:szCs w:val="16"/>
      <w:lang w:eastAsia="nl-NL"/>
    </w:rPr>
  </w:style>
  <w:style w:type="character" w:customStyle="1" w:styleId="DocumentstructuurChar">
    <w:name w:val="Documentstructuur Char"/>
    <w:basedOn w:val="Standaardalinea-lettertype"/>
    <w:link w:val="Documentstructuur"/>
    <w:uiPriority w:val="99"/>
    <w:semiHidden/>
    <w:rsid w:val="00C43BD1"/>
    <w:rPr>
      <w:rFonts w:ascii="Tahoma" w:eastAsia="Times New Roman" w:hAnsi="Tahoma" w:cs="Tahoma"/>
      <w:sz w:val="16"/>
      <w:szCs w:val="16"/>
      <w:lang w:eastAsia="nl-NL"/>
    </w:rPr>
  </w:style>
  <w:style w:type="paragraph" w:styleId="Normaalweb">
    <w:name w:val="Normal (Web)"/>
    <w:basedOn w:val="Standaard"/>
    <w:uiPriority w:val="99"/>
    <w:semiHidden/>
    <w:unhideWhenUsed/>
    <w:rsid w:val="004A4D62"/>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Default">
    <w:name w:val="Default"/>
    <w:rsid w:val="007D7EB9"/>
    <w:pPr>
      <w:autoSpaceDE w:val="0"/>
      <w:autoSpaceDN w:val="0"/>
      <w:adjustRightInd w:val="0"/>
      <w:spacing w:after="0" w:line="240" w:lineRule="auto"/>
    </w:pPr>
    <w:rPr>
      <w:rFonts w:ascii="Arial" w:hAnsi="Arial" w:cs="Arial"/>
      <w:color w:val="000000"/>
      <w:sz w:val="24"/>
      <w:szCs w:val="24"/>
    </w:rPr>
  </w:style>
  <w:style w:type="paragraph" w:customStyle="1" w:styleId="nr">
    <w:name w:val="nr"/>
    <w:basedOn w:val="Standaard"/>
    <w:rsid w:val="005B626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B6269"/>
  </w:style>
  <w:style w:type="character" w:styleId="GevolgdeHyperlink">
    <w:name w:val="FollowedHyperlink"/>
    <w:basedOn w:val="Standaardalinea-lettertype"/>
    <w:uiPriority w:val="99"/>
    <w:semiHidden/>
    <w:unhideWhenUsed/>
    <w:rsid w:val="00ED457C"/>
    <w:rPr>
      <w:color w:val="800080" w:themeColor="followedHyperlink"/>
      <w:u w:val="single"/>
    </w:rPr>
  </w:style>
  <w:style w:type="character" w:customStyle="1" w:styleId="Kop5Char">
    <w:name w:val="Kop 5 Char"/>
    <w:basedOn w:val="Standaardalinea-lettertype"/>
    <w:link w:val="Kop5"/>
    <w:uiPriority w:val="9"/>
    <w:semiHidden/>
    <w:rsid w:val="00941B62"/>
    <w:rPr>
      <w:rFonts w:asciiTheme="majorHAnsi" w:eastAsiaTheme="majorEastAsia" w:hAnsiTheme="majorHAnsi" w:cstheme="majorBidi"/>
      <w:color w:val="365F91" w:themeColor="accent1" w:themeShade="BF"/>
      <w:sz w:val="20"/>
    </w:rPr>
  </w:style>
  <w:style w:type="character" w:customStyle="1" w:styleId="Kop6Char">
    <w:name w:val="Kop 6 Char"/>
    <w:basedOn w:val="Standaardalinea-lettertype"/>
    <w:link w:val="Kop6"/>
    <w:uiPriority w:val="9"/>
    <w:semiHidden/>
    <w:rsid w:val="00941B62"/>
    <w:rPr>
      <w:rFonts w:asciiTheme="majorHAnsi" w:eastAsiaTheme="majorEastAsia" w:hAnsiTheme="majorHAnsi" w:cstheme="majorBidi"/>
      <w:color w:val="243F60" w:themeColor="accent1" w:themeShade="7F"/>
      <w:sz w:val="20"/>
    </w:rPr>
  </w:style>
  <w:style w:type="character" w:customStyle="1" w:styleId="Kop7Char">
    <w:name w:val="Kop 7 Char"/>
    <w:basedOn w:val="Standaardalinea-lettertype"/>
    <w:link w:val="Kop7"/>
    <w:uiPriority w:val="9"/>
    <w:semiHidden/>
    <w:rsid w:val="00941B62"/>
    <w:rPr>
      <w:rFonts w:asciiTheme="majorHAnsi" w:eastAsiaTheme="majorEastAsia" w:hAnsiTheme="majorHAnsi" w:cstheme="majorBidi"/>
      <w:i/>
      <w:iCs/>
      <w:color w:val="243F60" w:themeColor="accent1" w:themeShade="7F"/>
      <w:sz w:val="20"/>
    </w:rPr>
  </w:style>
  <w:style w:type="character" w:customStyle="1" w:styleId="Kop8Char">
    <w:name w:val="Kop 8 Char"/>
    <w:basedOn w:val="Standaardalinea-lettertype"/>
    <w:link w:val="Kop8"/>
    <w:uiPriority w:val="9"/>
    <w:semiHidden/>
    <w:rsid w:val="00941B6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41B62"/>
    <w:rPr>
      <w:rFonts w:asciiTheme="majorHAnsi" w:eastAsiaTheme="majorEastAsia" w:hAnsiTheme="majorHAnsi" w:cstheme="majorBidi"/>
      <w:i/>
      <w:iCs/>
      <w:color w:val="272727" w:themeColor="text1" w:themeTint="D8"/>
      <w:sz w:val="21"/>
      <w:szCs w:val="21"/>
    </w:rPr>
  </w:style>
  <w:style w:type="table" w:styleId="Onopgemaaktetabel2">
    <w:name w:val="Plain Table 2"/>
    <w:basedOn w:val="Standaardtabel"/>
    <w:uiPriority w:val="42"/>
    <w:rsid w:val="009B03B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jsttabel1licht">
    <w:name w:val="List Table 1 Light"/>
    <w:basedOn w:val="Standaardtabel"/>
    <w:uiPriority w:val="46"/>
    <w:rsid w:val="009B03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OpmaakprofielMetopsommingstekensLinks04cm">
    <w:name w:val="Opmaakprofiel Met opsommingstekens Links:  04 cm"/>
    <w:basedOn w:val="Standaard"/>
    <w:link w:val="OpmaakprofielMetopsommingstekensLinks04cmChar"/>
    <w:rsid w:val="00122AA9"/>
    <w:pPr>
      <w:tabs>
        <w:tab w:val="num" w:pos="340"/>
      </w:tabs>
      <w:ind w:left="340" w:hanging="340"/>
      <w:jc w:val="both"/>
    </w:pPr>
    <w:rPr>
      <w:rFonts w:ascii="Arial" w:eastAsia="Times New Roman" w:hAnsi="Arial" w:cs="Times New Roman"/>
      <w:szCs w:val="24"/>
      <w:lang w:eastAsia="nl-NL"/>
    </w:rPr>
  </w:style>
  <w:style w:type="character" w:customStyle="1" w:styleId="OpmaakprofielMetopsommingstekensLinks04cmChar">
    <w:name w:val="Opmaakprofiel Met opsommingstekens Links:  04 cm Char"/>
    <w:basedOn w:val="Standaardalinea-lettertype"/>
    <w:link w:val="OpmaakprofielMetopsommingstekensLinks04cm"/>
    <w:rsid w:val="00122AA9"/>
    <w:rPr>
      <w:rFonts w:ascii="Arial" w:eastAsia="Times New Roman" w:hAnsi="Arial" w:cs="Times New Roman"/>
      <w:sz w:val="20"/>
      <w:szCs w:val="24"/>
      <w:lang w:eastAsia="nl-NL"/>
    </w:rPr>
  </w:style>
  <w:style w:type="character" w:customStyle="1" w:styleId="UnresolvedMention">
    <w:name w:val="Unresolved Mention"/>
    <w:basedOn w:val="Standaardalinea-lettertype"/>
    <w:uiPriority w:val="99"/>
    <w:semiHidden/>
    <w:unhideWhenUsed/>
    <w:rsid w:val="00726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220">
      <w:bodyDiv w:val="1"/>
      <w:marLeft w:val="0"/>
      <w:marRight w:val="0"/>
      <w:marTop w:val="0"/>
      <w:marBottom w:val="0"/>
      <w:divBdr>
        <w:top w:val="none" w:sz="0" w:space="0" w:color="auto"/>
        <w:left w:val="none" w:sz="0" w:space="0" w:color="auto"/>
        <w:bottom w:val="none" w:sz="0" w:space="0" w:color="auto"/>
        <w:right w:val="none" w:sz="0" w:space="0" w:color="auto"/>
      </w:divBdr>
    </w:div>
    <w:div w:id="70002798">
      <w:bodyDiv w:val="1"/>
      <w:marLeft w:val="0"/>
      <w:marRight w:val="0"/>
      <w:marTop w:val="0"/>
      <w:marBottom w:val="0"/>
      <w:divBdr>
        <w:top w:val="none" w:sz="0" w:space="0" w:color="auto"/>
        <w:left w:val="none" w:sz="0" w:space="0" w:color="auto"/>
        <w:bottom w:val="none" w:sz="0" w:space="0" w:color="auto"/>
        <w:right w:val="none" w:sz="0" w:space="0" w:color="auto"/>
      </w:divBdr>
    </w:div>
    <w:div w:id="237255589">
      <w:bodyDiv w:val="1"/>
      <w:marLeft w:val="0"/>
      <w:marRight w:val="0"/>
      <w:marTop w:val="0"/>
      <w:marBottom w:val="0"/>
      <w:divBdr>
        <w:top w:val="none" w:sz="0" w:space="0" w:color="auto"/>
        <w:left w:val="none" w:sz="0" w:space="0" w:color="auto"/>
        <w:bottom w:val="none" w:sz="0" w:space="0" w:color="auto"/>
        <w:right w:val="none" w:sz="0" w:space="0" w:color="auto"/>
      </w:divBdr>
    </w:div>
    <w:div w:id="269315725">
      <w:bodyDiv w:val="1"/>
      <w:marLeft w:val="0"/>
      <w:marRight w:val="0"/>
      <w:marTop w:val="0"/>
      <w:marBottom w:val="0"/>
      <w:divBdr>
        <w:top w:val="none" w:sz="0" w:space="0" w:color="auto"/>
        <w:left w:val="none" w:sz="0" w:space="0" w:color="auto"/>
        <w:bottom w:val="none" w:sz="0" w:space="0" w:color="auto"/>
        <w:right w:val="none" w:sz="0" w:space="0" w:color="auto"/>
      </w:divBdr>
    </w:div>
    <w:div w:id="294213928">
      <w:bodyDiv w:val="1"/>
      <w:marLeft w:val="0"/>
      <w:marRight w:val="0"/>
      <w:marTop w:val="0"/>
      <w:marBottom w:val="0"/>
      <w:divBdr>
        <w:top w:val="none" w:sz="0" w:space="0" w:color="auto"/>
        <w:left w:val="none" w:sz="0" w:space="0" w:color="auto"/>
        <w:bottom w:val="none" w:sz="0" w:space="0" w:color="auto"/>
        <w:right w:val="none" w:sz="0" w:space="0" w:color="auto"/>
      </w:divBdr>
    </w:div>
    <w:div w:id="611010237">
      <w:bodyDiv w:val="1"/>
      <w:marLeft w:val="0"/>
      <w:marRight w:val="0"/>
      <w:marTop w:val="0"/>
      <w:marBottom w:val="0"/>
      <w:divBdr>
        <w:top w:val="none" w:sz="0" w:space="0" w:color="auto"/>
        <w:left w:val="none" w:sz="0" w:space="0" w:color="auto"/>
        <w:bottom w:val="none" w:sz="0" w:space="0" w:color="auto"/>
        <w:right w:val="none" w:sz="0" w:space="0" w:color="auto"/>
      </w:divBdr>
    </w:div>
    <w:div w:id="622271613">
      <w:bodyDiv w:val="1"/>
      <w:marLeft w:val="0"/>
      <w:marRight w:val="0"/>
      <w:marTop w:val="0"/>
      <w:marBottom w:val="0"/>
      <w:divBdr>
        <w:top w:val="none" w:sz="0" w:space="0" w:color="auto"/>
        <w:left w:val="none" w:sz="0" w:space="0" w:color="auto"/>
        <w:bottom w:val="none" w:sz="0" w:space="0" w:color="auto"/>
        <w:right w:val="none" w:sz="0" w:space="0" w:color="auto"/>
      </w:divBdr>
    </w:div>
    <w:div w:id="633831353">
      <w:bodyDiv w:val="1"/>
      <w:marLeft w:val="0"/>
      <w:marRight w:val="0"/>
      <w:marTop w:val="0"/>
      <w:marBottom w:val="0"/>
      <w:divBdr>
        <w:top w:val="none" w:sz="0" w:space="0" w:color="auto"/>
        <w:left w:val="none" w:sz="0" w:space="0" w:color="auto"/>
        <w:bottom w:val="none" w:sz="0" w:space="0" w:color="auto"/>
        <w:right w:val="none" w:sz="0" w:space="0" w:color="auto"/>
      </w:divBdr>
    </w:div>
    <w:div w:id="755830830">
      <w:bodyDiv w:val="1"/>
      <w:marLeft w:val="0"/>
      <w:marRight w:val="0"/>
      <w:marTop w:val="0"/>
      <w:marBottom w:val="0"/>
      <w:divBdr>
        <w:top w:val="none" w:sz="0" w:space="0" w:color="auto"/>
        <w:left w:val="none" w:sz="0" w:space="0" w:color="auto"/>
        <w:bottom w:val="none" w:sz="0" w:space="0" w:color="auto"/>
        <w:right w:val="none" w:sz="0" w:space="0" w:color="auto"/>
      </w:divBdr>
      <w:divsChild>
        <w:div w:id="761535478">
          <w:marLeft w:val="0"/>
          <w:marRight w:val="0"/>
          <w:marTop w:val="0"/>
          <w:marBottom w:val="0"/>
          <w:divBdr>
            <w:top w:val="none" w:sz="0" w:space="0" w:color="auto"/>
            <w:left w:val="none" w:sz="0" w:space="0" w:color="auto"/>
            <w:bottom w:val="none" w:sz="0" w:space="0" w:color="auto"/>
            <w:right w:val="none" w:sz="0" w:space="0" w:color="auto"/>
          </w:divBdr>
        </w:div>
        <w:div w:id="729159322">
          <w:marLeft w:val="0"/>
          <w:marRight w:val="0"/>
          <w:marTop w:val="0"/>
          <w:marBottom w:val="0"/>
          <w:divBdr>
            <w:top w:val="none" w:sz="0" w:space="0" w:color="auto"/>
            <w:left w:val="none" w:sz="0" w:space="0" w:color="auto"/>
            <w:bottom w:val="none" w:sz="0" w:space="0" w:color="auto"/>
            <w:right w:val="none" w:sz="0" w:space="0" w:color="auto"/>
          </w:divBdr>
        </w:div>
        <w:div w:id="356515847">
          <w:marLeft w:val="0"/>
          <w:marRight w:val="0"/>
          <w:marTop w:val="0"/>
          <w:marBottom w:val="0"/>
          <w:divBdr>
            <w:top w:val="none" w:sz="0" w:space="0" w:color="auto"/>
            <w:left w:val="none" w:sz="0" w:space="0" w:color="auto"/>
            <w:bottom w:val="none" w:sz="0" w:space="0" w:color="auto"/>
            <w:right w:val="none" w:sz="0" w:space="0" w:color="auto"/>
          </w:divBdr>
        </w:div>
        <w:div w:id="375393989">
          <w:marLeft w:val="0"/>
          <w:marRight w:val="0"/>
          <w:marTop w:val="0"/>
          <w:marBottom w:val="0"/>
          <w:divBdr>
            <w:top w:val="none" w:sz="0" w:space="0" w:color="auto"/>
            <w:left w:val="none" w:sz="0" w:space="0" w:color="auto"/>
            <w:bottom w:val="none" w:sz="0" w:space="0" w:color="auto"/>
            <w:right w:val="none" w:sz="0" w:space="0" w:color="auto"/>
          </w:divBdr>
        </w:div>
        <w:div w:id="483476519">
          <w:marLeft w:val="0"/>
          <w:marRight w:val="0"/>
          <w:marTop w:val="0"/>
          <w:marBottom w:val="0"/>
          <w:divBdr>
            <w:top w:val="none" w:sz="0" w:space="0" w:color="auto"/>
            <w:left w:val="none" w:sz="0" w:space="0" w:color="auto"/>
            <w:bottom w:val="none" w:sz="0" w:space="0" w:color="auto"/>
            <w:right w:val="none" w:sz="0" w:space="0" w:color="auto"/>
          </w:divBdr>
        </w:div>
        <w:div w:id="634257836">
          <w:marLeft w:val="0"/>
          <w:marRight w:val="0"/>
          <w:marTop w:val="0"/>
          <w:marBottom w:val="0"/>
          <w:divBdr>
            <w:top w:val="none" w:sz="0" w:space="0" w:color="auto"/>
            <w:left w:val="none" w:sz="0" w:space="0" w:color="auto"/>
            <w:bottom w:val="none" w:sz="0" w:space="0" w:color="auto"/>
            <w:right w:val="none" w:sz="0" w:space="0" w:color="auto"/>
          </w:divBdr>
        </w:div>
        <w:div w:id="581304567">
          <w:marLeft w:val="0"/>
          <w:marRight w:val="0"/>
          <w:marTop w:val="0"/>
          <w:marBottom w:val="0"/>
          <w:divBdr>
            <w:top w:val="none" w:sz="0" w:space="0" w:color="auto"/>
            <w:left w:val="none" w:sz="0" w:space="0" w:color="auto"/>
            <w:bottom w:val="none" w:sz="0" w:space="0" w:color="auto"/>
            <w:right w:val="none" w:sz="0" w:space="0" w:color="auto"/>
          </w:divBdr>
        </w:div>
        <w:div w:id="2120954544">
          <w:marLeft w:val="0"/>
          <w:marRight w:val="0"/>
          <w:marTop w:val="0"/>
          <w:marBottom w:val="0"/>
          <w:divBdr>
            <w:top w:val="none" w:sz="0" w:space="0" w:color="auto"/>
            <w:left w:val="none" w:sz="0" w:space="0" w:color="auto"/>
            <w:bottom w:val="none" w:sz="0" w:space="0" w:color="auto"/>
            <w:right w:val="none" w:sz="0" w:space="0" w:color="auto"/>
          </w:divBdr>
        </w:div>
      </w:divsChild>
    </w:div>
    <w:div w:id="787429945">
      <w:bodyDiv w:val="1"/>
      <w:marLeft w:val="0"/>
      <w:marRight w:val="0"/>
      <w:marTop w:val="0"/>
      <w:marBottom w:val="0"/>
      <w:divBdr>
        <w:top w:val="none" w:sz="0" w:space="0" w:color="auto"/>
        <w:left w:val="none" w:sz="0" w:space="0" w:color="auto"/>
        <w:bottom w:val="none" w:sz="0" w:space="0" w:color="auto"/>
        <w:right w:val="none" w:sz="0" w:space="0" w:color="auto"/>
      </w:divBdr>
    </w:div>
    <w:div w:id="838959005">
      <w:bodyDiv w:val="1"/>
      <w:marLeft w:val="0"/>
      <w:marRight w:val="0"/>
      <w:marTop w:val="0"/>
      <w:marBottom w:val="0"/>
      <w:divBdr>
        <w:top w:val="none" w:sz="0" w:space="0" w:color="auto"/>
        <w:left w:val="none" w:sz="0" w:space="0" w:color="auto"/>
        <w:bottom w:val="none" w:sz="0" w:space="0" w:color="auto"/>
        <w:right w:val="none" w:sz="0" w:space="0" w:color="auto"/>
      </w:divBdr>
    </w:div>
    <w:div w:id="865290873">
      <w:bodyDiv w:val="1"/>
      <w:marLeft w:val="0"/>
      <w:marRight w:val="0"/>
      <w:marTop w:val="0"/>
      <w:marBottom w:val="0"/>
      <w:divBdr>
        <w:top w:val="none" w:sz="0" w:space="0" w:color="auto"/>
        <w:left w:val="none" w:sz="0" w:space="0" w:color="auto"/>
        <w:bottom w:val="none" w:sz="0" w:space="0" w:color="auto"/>
        <w:right w:val="none" w:sz="0" w:space="0" w:color="auto"/>
      </w:divBdr>
    </w:div>
    <w:div w:id="910192713">
      <w:bodyDiv w:val="1"/>
      <w:marLeft w:val="0"/>
      <w:marRight w:val="0"/>
      <w:marTop w:val="0"/>
      <w:marBottom w:val="0"/>
      <w:divBdr>
        <w:top w:val="none" w:sz="0" w:space="0" w:color="auto"/>
        <w:left w:val="none" w:sz="0" w:space="0" w:color="auto"/>
        <w:bottom w:val="none" w:sz="0" w:space="0" w:color="auto"/>
        <w:right w:val="none" w:sz="0" w:space="0" w:color="auto"/>
      </w:divBdr>
    </w:div>
    <w:div w:id="1162238449">
      <w:bodyDiv w:val="1"/>
      <w:marLeft w:val="0"/>
      <w:marRight w:val="0"/>
      <w:marTop w:val="0"/>
      <w:marBottom w:val="0"/>
      <w:divBdr>
        <w:top w:val="none" w:sz="0" w:space="0" w:color="auto"/>
        <w:left w:val="none" w:sz="0" w:space="0" w:color="auto"/>
        <w:bottom w:val="none" w:sz="0" w:space="0" w:color="auto"/>
        <w:right w:val="none" w:sz="0" w:space="0" w:color="auto"/>
      </w:divBdr>
    </w:div>
    <w:div w:id="1166556069">
      <w:bodyDiv w:val="1"/>
      <w:marLeft w:val="0"/>
      <w:marRight w:val="0"/>
      <w:marTop w:val="0"/>
      <w:marBottom w:val="0"/>
      <w:divBdr>
        <w:top w:val="none" w:sz="0" w:space="0" w:color="auto"/>
        <w:left w:val="none" w:sz="0" w:space="0" w:color="auto"/>
        <w:bottom w:val="none" w:sz="0" w:space="0" w:color="auto"/>
        <w:right w:val="none" w:sz="0" w:space="0" w:color="auto"/>
      </w:divBdr>
    </w:div>
    <w:div w:id="1306278410">
      <w:bodyDiv w:val="1"/>
      <w:marLeft w:val="0"/>
      <w:marRight w:val="0"/>
      <w:marTop w:val="0"/>
      <w:marBottom w:val="0"/>
      <w:divBdr>
        <w:top w:val="none" w:sz="0" w:space="0" w:color="auto"/>
        <w:left w:val="none" w:sz="0" w:space="0" w:color="auto"/>
        <w:bottom w:val="none" w:sz="0" w:space="0" w:color="auto"/>
        <w:right w:val="none" w:sz="0" w:space="0" w:color="auto"/>
      </w:divBdr>
      <w:divsChild>
        <w:div w:id="1249735690">
          <w:marLeft w:val="720"/>
          <w:marRight w:val="0"/>
          <w:marTop w:val="86"/>
          <w:marBottom w:val="0"/>
          <w:divBdr>
            <w:top w:val="none" w:sz="0" w:space="0" w:color="auto"/>
            <w:left w:val="none" w:sz="0" w:space="0" w:color="auto"/>
            <w:bottom w:val="none" w:sz="0" w:space="0" w:color="auto"/>
            <w:right w:val="none" w:sz="0" w:space="0" w:color="auto"/>
          </w:divBdr>
        </w:div>
        <w:div w:id="149101059">
          <w:marLeft w:val="720"/>
          <w:marRight w:val="0"/>
          <w:marTop w:val="86"/>
          <w:marBottom w:val="0"/>
          <w:divBdr>
            <w:top w:val="none" w:sz="0" w:space="0" w:color="auto"/>
            <w:left w:val="none" w:sz="0" w:space="0" w:color="auto"/>
            <w:bottom w:val="none" w:sz="0" w:space="0" w:color="auto"/>
            <w:right w:val="none" w:sz="0" w:space="0" w:color="auto"/>
          </w:divBdr>
        </w:div>
        <w:div w:id="1546983905">
          <w:marLeft w:val="720"/>
          <w:marRight w:val="0"/>
          <w:marTop w:val="86"/>
          <w:marBottom w:val="0"/>
          <w:divBdr>
            <w:top w:val="none" w:sz="0" w:space="0" w:color="auto"/>
            <w:left w:val="none" w:sz="0" w:space="0" w:color="auto"/>
            <w:bottom w:val="none" w:sz="0" w:space="0" w:color="auto"/>
            <w:right w:val="none" w:sz="0" w:space="0" w:color="auto"/>
          </w:divBdr>
        </w:div>
        <w:div w:id="1435905479">
          <w:marLeft w:val="720"/>
          <w:marRight w:val="0"/>
          <w:marTop w:val="86"/>
          <w:marBottom w:val="0"/>
          <w:divBdr>
            <w:top w:val="none" w:sz="0" w:space="0" w:color="auto"/>
            <w:left w:val="none" w:sz="0" w:space="0" w:color="auto"/>
            <w:bottom w:val="none" w:sz="0" w:space="0" w:color="auto"/>
            <w:right w:val="none" w:sz="0" w:space="0" w:color="auto"/>
          </w:divBdr>
        </w:div>
      </w:divsChild>
    </w:div>
    <w:div w:id="1663578120">
      <w:bodyDiv w:val="1"/>
      <w:marLeft w:val="0"/>
      <w:marRight w:val="0"/>
      <w:marTop w:val="0"/>
      <w:marBottom w:val="0"/>
      <w:divBdr>
        <w:top w:val="none" w:sz="0" w:space="0" w:color="auto"/>
        <w:left w:val="none" w:sz="0" w:space="0" w:color="auto"/>
        <w:bottom w:val="none" w:sz="0" w:space="0" w:color="auto"/>
        <w:right w:val="none" w:sz="0" w:space="0" w:color="auto"/>
      </w:divBdr>
    </w:div>
    <w:div w:id="1664310429">
      <w:bodyDiv w:val="1"/>
      <w:marLeft w:val="0"/>
      <w:marRight w:val="0"/>
      <w:marTop w:val="0"/>
      <w:marBottom w:val="0"/>
      <w:divBdr>
        <w:top w:val="none" w:sz="0" w:space="0" w:color="auto"/>
        <w:left w:val="none" w:sz="0" w:space="0" w:color="auto"/>
        <w:bottom w:val="none" w:sz="0" w:space="0" w:color="auto"/>
        <w:right w:val="none" w:sz="0" w:space="0" w:color="auto"/>
      </w:divBdr>
    </w:div>
    <w:div w:id="1713772043">
      <w:bodyDiv w:val="1"/>
      <w:marLeft w:val="0"/>
      <w:marRight w:val="0"/>
      <w:marTop w:val="0"/>
      <w:marBottom w:val="0"/>
      <w:divBdr>
        <w:top w:val="none" w:sz="0" w:space="0" w:color="auto"/>
        <w:left w:val="none" w:sz="0" w:space="0" w:color="auto"/>
        <w:bottom w:val="none" w:sz="0" w:space="0" w:color="auto"/>
        <w:right w:val="none" w:sz="0" w:space="0" w:color="auto"/>
      </w:divBdr>
      <w:divsChild>
        <w:div w:id="737090358">
          <w:marLeft w:val="547"/>
          <w:marRight w:val="0"/>
          <w:marTop w:val="0"/>
          <w:marBottom w:val="0"/>
          <w:divBdr>
            <w:top w:val="none" w:sz="0" w:space="0" w:color="auto"/>
            <w:left w:val="none" w:sz="0" w:space="0" w:color="auto"/>
            <w:bottom w:val="none" w:sz="0" w:space="0" w:color="auto"/>
            <w:right w:val="none" w:sz="0" w:space="0" w:color="auto"/>
          </w:divBdr>
        </w:div>
        <w:div w:id="1077358245">
          <w:marLeft w:val="1166"/>
          <w:marRight w:val="0"/>
          <w:marTop w:val="0"/>
          <w:marBottom w:val="0"/>
          <w:divBdr>
            <w:top w:val="none" w:sz="0" w:space="0" w:color="auto"/>
            <w:left w:val="none" w:sz="0" w:space="0" w:color="auto"/>
            <w:bottom w:val="none" w:sz="0" w:space="0" w:color="auto"/>
            <w:right w:val="none" w:sz="0" w:space="0" w:color="auto"/>
          </w:divBdr>
        </w:div>
        <w:div w:id="1451625390">
          <w:marLeft w:val="1166"/>
          <w:marRight w:val="0"/>
          <w:marTop w:val="0"/>
          <w:marBottom w:val="0"/>
          <w:divBdr>
            <w:top w:val="none" w:sz="0" w:space="0" w:color="auto"/>
            <w:left w:val="none" w:sz="0" w:space="0" w:color="auto"/>
            <w:bottom w:val="none" w:sz="0" w:space="0" w:color="auto"/>
            <w:right w:val="none" w:sz="0" w:space="0" w:color="auto"/>
          </w:divBdr>
        </w:div>
        <w:div w:id="1104769913">
          <w:marLeft w:val="1800"/>
          <w:marRight w:val="0"/>
          <w:marTop w:val="0"/>
          <w:marBottom w:val="0"/>
          <w:divBdr>
            <w:top w:val="none" w:sz="0" w:space="0" w:color="auto"/>
            <w:left w:val="none" w:sz="0" w:space="0" w:color="auto"/>
            <w:bottom w:val="none" w:sz="0" w:space="0" w:color="auto"/>
            <w:right w:val="none" w:sz="0" w:space="0" w:color="auto"/>
          </w:divBdr>
        </w:div>
        <w:div w:id="1014040151">
          <w:marLeft w:val="1800"/>
          <w:marRight w:val="0"/>
          <w:marTop w:val="0"/>
          <w:marBottom w:val="0"/>
          <w:divBdr>
            <w:top w:val="none" w:sz="0" w:space="0" w:color="auto"/>
            <w:left w:val="none" w:sz="0" w:space="0" w:color="auto"/>
            <w:bottom w:val="none" w:sz="0" w:space="0" w:color="auto"/>
            <w:right w:val="none" w:sz="0" w:space="0" w:color="auto"/>
          </w:divBdr>
        </w:div>
        <w:div w:id="908424583">
          <w:marLeft w:val="1800"/>
          <w:marRight w:val="0"/>
          <w:marTop w:val="0"/>
          <w:marBottom w:val="0"/>
          <w:divBdr>
            <w:top w:val="none" w:sz="0" w:space="0" w:color="auto"/>
            <w:left w:val="none" w:sz="0" w:space="0" w:color="auto"/>
            <w:bottom w:val="none" w:sz="0" w:space="0" w:color="auto"/>
            <w:right w:val="none" w:sz="0" w:space="0" w:color="auto"/>
          </w:divBdr>
        </w:div>
        <w:div w:id="1101606786">
          <w:marLeft w:val="1800"/>
          <w:marRight w:val="0"/>
          <w:marTop w:val="0"/>
          <w:marBottom w:val="0"/>
          <w:divBdr>
            <w:top w:val="none" w:sz="0" w:space="0" w:color="auto"/>
            <w:left w:val="none" w:sz="0" w:space="0" w:color="auto"/>
            <w:bottom w:val="none" w:sz="0" w:space="0" w:color="auto"/>
            <w:right w:val="none" w:sz="0" w:space="0" w:color="auto"/>
          </w:divBdr>
        </w:div>
        <w:div w:id="133766265">
          <w:marLeft w:val="1800"/>
          <w:marRight w:val="0"/>
          <w:marTop w:val="0"/>
          <w:marBottom w:val="0"/>
          <w:divBdr>
            <w:top w:val="none" w:sz="0" w:space="0" w:color="auto"/>
            <w:left w:val="none" w:sz="0" w:space="0" w:color="auto"/>
            <w:bottom w:val="none" w:sz="0" w:space="0" w:color="auto"/>
            <w:right w:val="none" w:sz="0" w:space="0" w:color="auto"/>
          </w:divBdr>
        </w:div>
      </w:divsChild>
    </w:div>
    <w:div w:id="1779176278">
      <w:bodyDiv w:val="1"/>
      <w:marLeft w:val="0"/>
      <w:marRight w:val="0"/>
      <w:marTop w:val="0"/>
      <w:marBottom w:val="0"/>
      <w:divBdr>
        <w:top w:val="none" w:sz="0" w:space="0" w:color="auto"/>
        <w:left w:val="none" w:sz="0" w:space="0" w:color="auto"/>
        <w:bottom w:val="none" w:sz="0" w:space="0" w:color="auto"/>
        <w:right w:val="none" w:sz="0" w:space="0" w:color="auto"/>
      </w:divBdr>
    </w:div>
    <w:div w:id="1966547142">
      <w:bodyDiv w:val="1"/>
      <w:marLeft w:val="0"/>
      <w:marRight w:val="0"/>
      <w:marTop w:val="0"/>
      <w:marBottom w:val="0"/>
      <w:divBdr>
        <w:top w:val="none" w:sz="0" w:space="0" w:color="auto"/>
        <w:left w:val="none" w:sz="0" w:space="0" w:color="auto"/>
        <w:bottom w:val="none" w:sz="0" w:space="0" w:color="auto"/>
        <w:right w:val="none" w:sz="0" w:space="0" w:color="auto"/>
      </w:divBdr>
    </w:div>
    <w:div w:id="2011906291">
      <w:bodyDiv w:val="1"/>
      <w:marLeft w:val="0"/>
      <w:marRight w:val="0"/>
      <w:marTop w:val="0"/>
      <w:marBottom w:val="0"/>
      <w:divBdr>
        <w:top w:val="none" w:sz="0" w:space="0" w:color="auto"/>
        <w:left w:val="none" w:sz="0" w:space="0" w:color="auto"/>
        <w:bottom w:val="none" w:sz="0" w:space="0" w:color="auto"/>
        <w:right w:val="none" w:sz="0" w:space="0" w:color="auto"/>
      </w:divBdr>
    </w:div>
    <w:div w:id="2091389891">
      <w:bodyDiv w:val="1"/>
      <w:marLeft w:val="0"/>
      <w:marRight w:val="0"/>
      <w:marTop w:val="0"/>
      <w:marBottom w:val="0"/>
      <w:divBdr>
        <w:top w:val="none" w:sz="0" w:space="0" w:color="auto"/>
        <w:left w:val="none" w:sz="0" w:space="0" w:color="auto"/>
        <w:bottom w:val="none" w:sz="0" w:space="0" w:color="auto"/>
        <w:right w:val="none" w:sz="0" w:space="0" w:color="auto"/>
      </w:divBdr>
    </w:div>
    <w:div w:id="2135129440">
      <w:bodyDiv w:val="1"/>
      <w:marLeft w:val="0"/>
      <w:marRight w:val="0"/>
      <w:marTop w:val="0"/>
      <w:marBottom w:val="0"/>
      <w:divBdr>
        <w:top w:val="none" w:sz="0" w:space="0" w:color="auto"/>
        <w:left w:val="none" w:sz="0" w:space="0" w:color="auto"/>
        <w:bottom w:val="none" w:sz="0" w:space="0" w:color="auto"/>
        <w:right w:val="none" w:sz="0" w:space="0" w:color="auto"/>
      </w:divBdr>
    </w:div>
    <w:div w:id="21460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9.jpg@01D67AC0.5B003CA0" TargetMode="External"/><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17EE0-5F11-4612-9DBF-647832A4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2368</Words>
  <Characters>13028</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Rogier Witteveen</dc:creator>
  <cp:lastModifiedBy>Sj. Henstra | Daniël Pijnacker B.V.</cp:lastModifiedBy>
  <cp:revision>10</cp:revision>
  <cp:lastPrinted>2020-08-25T09:25:00Z</cp:lastPrinted>
  <dcterms:created xsi:type="dcterms:W3CDTF">2020-08-25T07:49:00Z</dcterms:created>
  <dcterms:modified xsi:type="dcterms:W3CDTF">2020-10-18T19:00:00Z</dcterms:modified>
</cp:coreProperties>
</file>